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447D8">
      <w:pPr>
        <w:adjustRightInd w:val="0"/>
        <w:snapToGrid w:val="0"/>
        <w:jc w:val="center"/>
        <w:rPr>
          <w:rFonts w:eastAsia="方正小标宋简体"/>
          <w:b/>
          <w:sz w:val="40"/>
          <w:szCs w:val="44"/>
          <w:vertAlign w:val="superscript"/>
        </w:rPr>
      </w:pPr>
      <w:r>
        <w:rPr>
          <w:rFonts w:eastAsia="方正小标宋简体"/>
          <w:sz w:val="40"/>
          <w:szCs w:val="44"/>
        </w:rPr>
        <w:t>南京市2025年国民经济和社会发展统计公报</w:t>
      </w:r>
      <w:r>
        <w:rPr>
          <w:rFonts w:eastAsia="方正小标宋简体"/>
          <w:b/>
          <w:sz w:val="40"/>
          <w:szCs w:val="44"/>
          <w:vertAlign w:val="superscript"/>
        </w:rPr>
        <w:t>[1]</w:t>
      </w:r>
    </w:p>
    <w:p w14:paraId="66F1BC5D">
      <w:pPr>
        <w:adjustRightInd w:val="0"/>
        <w:snapToGrid w:val="0"/>
        <w:spacing w:line="360" w:lineRule="auto"/>
        <w:jc w:val="center"/>
        <w:rPr>
          <w:rFonts w:eastAsia="楷体_GB2312"/>
          <w:szCs w:val="32"/>
        </w:rPr>
      </w:pPr>
    </w:p>
    <w:p w14:paraId="77AEB62E">
      <w:pPr>
        <w:adjustRightInd w:val="0"/>
        <w:snapToGrid w:val="0"/>
        <w:spacing w:line="360" w:lineRule="auto"/>
        <w:jc w:val="center"/>
        <w:rPr>
          <w:rFonts w:eastAsia="楷体_GB2312"/>
          <w:szCs w:val="32"/>
          <w:highlight w:val="none"/>
        </w:rPr>
      </w:pPr>
      <w:bookmarkStart w:id="0" w:name="_GoBack"/>
      <w:r>
        <w:rPr>
          <w:rFonts w:eastAsia="楷体_GB2312"/>
          <w:szCs w:val="32"/>
          <w:highlight w:val="none"/>
        </w:rPr>
        <w:t>南京市统计局  国家统计局南京调查队</w:t>
      </w:r>
    </w:p>
    <w:p w14:paraId="21DF3890">
      <w:pPr>
        <w:adjustRightInd w:val="0"/>
        <w:snapToGrid w:val="0"/>
        <w:spacing w:line="360" w:lineRule="auto"/>
        <w:jc w:val="center"/>
        <w:rPr>
          <w:rFonts w:eastAsia="楷体_GB2312"/>
          <w:szCs w:val="32"/>
          <w:highlight w:val="none"/>
        </w:rPr>
      </w:pPr>
      <w:r>
        <w:rPr>
          <w:rFonts w:eastAsia="楷体_GB2312"/>
          <w:szCs w:val="32"/>
          <w:highlight w:val="none"/>
        </w:rPr>
        <w:t>2026年3月</w:t>
      </w:r>
    </w:p>
    <w:p w14:paraId="7BCAFDAB">
      <w:pPr>
        <w:adjustRightInd w:val="0"/>
        <w:snapToGrid w:val="0"/>
        <w:spacing w:line="560" w:lineRule="exact"/>
        <w:ind w:firstLine="608" w:firstLineChars="200"/>
        <w:rPr>
          <w:rFonts w:ascii="仿宋_GB2312" w:eastAsia="仿宋_GB2312"/>
          <w:spacing w:val="-6"/>
          <w:highlight w:val="none"/>
        </w:rPr>
      </w:pPr>
      <w:r>
        <w:rPr>
          <w:rFonts w:eastAsia="仿宋_GB2312"/>
          <w:spacing w:val="-6"/>
          <w:highlight w:val="none"/>
        </w:rPr>
        <w:t>2025年，全市上下坚持以习近平新时代中国特色社会主义思想为指导，全面贯彻党的二十大和二十届历次全会精神，认真学习贯彻习近平总书记对江苏工作重要讲话精神，深入落实党中央、国务院决策部署和省委、省政府工作要求，完整准确全面贯彻新发展理念，服务构建新发展格局，扎实推进高质量发展，聚力打好</w:t>
      </w:r>
      <w:r>
        <w:rPr>
          <w:rFonts w:hint="eastAsia" w:ascii="仿宋_GB2312" w:eastAsia="仿宋_GB2312"/>
          <w:spacing w:val="-6"/>
          <w:highlight w:val="none"/>
        </w:rPr>
        <w:t>“三大关键仗”“三大攻坚仗”，</w:t>
      </w:r>
      <w:r>
        <w:rPr>
          <w:rFonts w:eastAsia="仿宋_GB2312"/>
          <w:spacing w:val="-6"/>
          <w:highlight w:val="none"/>
        </w:rPr>
        <w:t>经济总量保持全国内地城市十强，</w:t>
      </w:r>
      <w:r>
        <w:rPr>
          <w:rFonts w:hint="eastAsia" w:ascii="仿宋_GB2312" w:eastAsia="仿宋_GB2312"/>
          <w:spacing w:val="-6"/>
          <w:highlight w:val="none"/>
        </w:rPr>
        <w:t>“强富美高”新南京现代化建设迈上新台阶。</w:t>
      </w:r>
    </w:p>
    <w:p w14:paraId="3037DFA9">
      <w:pPr>
        <w:adjustRightInd w:val="0"/>
        <w:snapToGrid w:val="0"/>
        <w:spacing w:line="560" w:lineRule="exact"/>
        <w:ind w:firstLine="632" w:firstLineChars="200"/>
        <w:rPr>
          <w:rFonts w:eastAsia="黑体"/>
          <w:szCs w:val="32"/>
          <w:highlight w:val="none"/>
        </w:rPr>
      </w:pPr>
      <w:r>
        <w:rPr>
          <w:rFonts w:eastAsia="黑体"/>
          <w:szCs w:val="32"/>
          <w:highlight w:val="none"/>
        </w:rPr>
        <w:t>一、综合</w:t>
      </w:r>
    </w:p>
    <w:p w14:paraId="1E31BCF5">
      <w:pPr>
        <w:ind w:firstLine="632" w:firstLineChars="200"/>
        <w:rPr>
          <w:rFonts w:eastAsia="仿宋_GB2312"/>
          <w:szCs w:val="32"/>
          <w:highlight w:val="none"/>
        </w:rPr>
      </w:pPr>
      <w:r>
        <w:rPr>
          <w:rFonts w:eastAsia="仿宋_GB2312"/>
          <w:szCs w:val="32"/>
          <w:highlight w:val="none"/>
        </w:rPr>
        <w:t>初步核算，全年全市实现地区生产总值</w:t>
      </w:r>
      <w:r>
        <w:rPr>
          <w:rFonts w:eastAsia="仿宋_GB2312"/>
          <w:szCs w:val="32"/>
          <w:highlight w:val="none"/>
          <w:vertAlign w:val="superscript"/>
        </w:rPr>
        <w:t>[2]</w:t>
      </w:r>
      <w:r>
        <w:rPr>
          <w:highlight w:val="none"/>
        </w:rPr>
        <w:t xml:space="preserve"> </w:t>
      </w:r>
      <w:r>
        <w:rPr>
          <w:rFonts w:eastAsia="仿宋_GB2312"/>
          <w:szCs w:val="32"/>
          <w:highlight w:val="none"/>
        </w:rPr>
        <w:t>19428.78亿元，比上年增长5.2%。分产业看，第一产业增加值338.50亿元，增长3.4%；第二产业增加值5873.07亿元，增长3.7%；第三产业增加值13217.21亿元，增长6.0%。三次产业增加值占地区生产总值的比重分别为1.7%、30.2%、68.0%。全年人均地区生产总值202220元，比上年增长4.7%。</w:t>
      </w:r>
    </w:p>
    <w:p w14:paraId="0897913E">
      <w:pPr>
        <w:adjustRightInd w:val="0"/>
        <w:snapToGrid w:val="0"/>
        <w:spacing w:line="560" w:lineRule="exact"/>
        <w:ind w:firstLine="632" w:firstLineChars="200"/>
        <w:rPr>
          <w:rFonts w:eastAsia="仿宋_GB2312"/>
          <w:szCs w:val="32"/>
          <w:highlight w:val="none"/>
        </w:rPr>
      </w:pPr>
      <w:r>
        <w:rPr>
          <w:rFonts w:eastAsia="仿宋_GB2312"/>
          <w:szCs w:val="32"/>
          <w:highlight w:val="none"/>
        </w:rPr>
        <w:t>年末全市常住人口963.85万人，比上年末增加6.15万人，</w:t>
      </w:r>
      <w:r>
        <w:rPr>
          <w:rFonts w:hint="eastAsia" w:eastAsia="仿宋_GB2312"/>
          <w:szCs w:val="32"/>
          <w:highlight w:val="none"/>
        </w:rPr>
        <w:t>同比</w:t>
      </w:r>
      <w:r>
        <w:rPr>
          <w:rFonts w:eastAsia="仿宋_GB2312"/>
          <w:szCs w:val="32"/>
          <w:highlight w:val="none"/>
        </w:rPr>
        <w:t>增长0.64%。其中城镇人口843.37万人，占总人口比重（常住人口城镇化率）87.5%，比上年提升0.2个百分点。全年常住人口出生率为5.39‰，死亡率5.04‰，自然增长率0.35‰。</w:t>
      </w:r>
    </w:p>
    <w:p w14:paraId="617D0E30">
      <w:pPr>
        <w:adjustRightInd w:val="0"/>
        <w:snapToGrid w:val="0"/>
        <w:spacing w:line="560" w:lineRule="exact"/>
        <w:ind w:firstLine="632" w:firstLineChars="200"/>
        <w:rPr>
          <w:rFonts w:eastAsia="仿宋_GB2312"/>
          <w:color w:val="FF0000"/>
          <w:szCs w:val="32"/>
          <w:highlight w:val="none"/>
        </w:rPr>
      </w:pPr>
      <w:r>
        <w:rPr>
          <w:rFonts w:eastAsia="仿宋_GB2312"/>
          <w:szCs w:val="32"/>
          <w:highlight w:val="none"/>
        </w:rPr>
        <w:t>全市全年城镇新增就业21.91万人。全年提供就业岗位57.2万次。</w:t>
      </w:r>
    </w:p>
    <w:p w14:paraId="2DFF47C2">
      <w:pPr>
        <w:adjustRightInd w:val="0"/>
        <w:snapToGrid w:val="0"/>
        <w:spacing w:line="560" w:lineRule="exact"/>
        <w:ind w:firstLine="632" w:firstLineChars="200"/>
        <w:rPr>
          <w:rFonts w:eastAsia="仿宋_GB2312"/>
          <w:szCs w:val="32"/>
          <w:highlight w:val="none"/>
        </w:rPr>
      </w:pPr>
      <w:r>
        <w:rPr>
          <w:rFonts w:eastAsia="仿宋_GB2312"/>
          <w:szCs w:val="32"/>
          <w:highlight w:val="none"/>
        </w:rPr>
        <w:t>全年居民消费价格比上年下降0.2%。分类别看，食品烟酒价格下降1.1%，衣着价格上涨1.9%，居住价格下降0.5%，生活用品及服务价格上涨1.3%，交通通信价格下降3.5%，教育文化娱乐价格上涨0.8%，医疗保健价格上涨1.4%，其他用品及服务价格上涨10.8%。</w:t>
      </w:r>
    </w:p>
    <w:p w14:paraId="6874324D">
      <w:pPr>
        <w:adjustRightInd w:val="0"/>
        <w:snapToGrid w:val="0"/>
        <w:spacing w:line="560" w:lineRule="exact"/>
        <w:ind w:firstLine="632" w:firstLineChars="200"/>
        <w:rPr>
          <w:rFonts w:eastAsia="仿宋_GB2312"/>
          <w:szCs w:val="32"/>
          <w:highlight w:val="none"/>
        </w:rPr>
      </w:pPr>
      <w:r>
        <w:rPr>
          <w:rFonts w:eastAsia="仿宋_GB2312"/>
          <w:szCs w:val="32"/>
          <w:highlight w:val="none"/>
        </w:rPr>
        <w:t>全年工业生产者出厂价格比上年下降2.5%，工业生产者购进价格比上年下降3.0%。</w:t>
      </w:r>
    </w:p>
    <w:tbl>
      <w:tblPr>
        <w:tblStyle w:val="7"/>
        <w:tblW w:w="8162" w:type="dxa"/>
        <w:jc w:val="center"/>
        <w:tblLayout w:type="fixed"/>
        <w:tblCellMar>
          <w:top w:w="0" w:type="dxa"/>
          <w:left w:w="108" w:type="dxa"/>
          <w:bottom w:w="0" w:type="dxa"/>
          <w:right w:w="108" w:type="dxa"/>
        </w:tblCellMar>
      </w:tblPr>
      <w:tblGrid>
        <w:gridCol w:w="2720"/>
        <w:gridCol w:w="2721"/>
        <w:gridCol w:w="2721"/>
      </w:tblGrid>
      <w:tr w14:paraId="3D1BF4E1">
        <w:tblPrEx>
          <w:tblCellMar>
            <w:top w:w="0" w:type="dxa"/>
            <w:left w:w="108" w:type="dxa"/>
            <w:bottom w:w="0" w:type="dxa"/>
            <w:right w:w="108" w:type="dxa"/>
          </w:tblCellMar>
        </w:tblPrEx>
        <w:trPr>
          <w:trHeight w:val="454" w:hRule="atLeast"/>
          <w:jc w:val="center"/>
        </w:trPr>
        <w:tc>
          <w:tcPr>
            <w:tcW w:w="8162" w:type="dxa"/>
            <w:gridSpan w:val="3"/>
            <w:tcBorders>
              <w:top w:val="nil"/>
              <w:left w:val="nil"/>
              <w:bottom w:val="nil"/>
              <w:right w:val="nil"/>
            </w:tcBorders>
            <w:vAlign w:val="center"/>
          </w:tcPr>
          <w:p w14:paraId="539C52E6">
            <w:pPr>
              <w:widowControl/>
              <w:snapToGrid w:val="0"/>
              <w:jc w:val="center"/>
              <w:rPr>
                <w:rFonts w:eastAsia="黑体"/>
                <w:b/>
                <w:bCs/>
                <w:kern w:val="0"/>
                <w:sz w:val="28"/>
                <w:szCs w:val="28"/>
                <w:highlight w:val="none"/>
              </w:rPr>
            </w:pPr>
            <w:r>
              <w:rPr>
                <w:rFonts w:eastAsia="黑体"/>
                <w:kern w:val="0"/>
                <w:sz w:val="28"/>
                <w:szCs w:val="28"/>
                <w:highlight w:val="none"/>
              </w:rPr>
              <w:t>表1  2025年居民消费价格涨跌幅度（单位：%）</w:t>
            </w:r>
          </w:p>
        </w:tc>
      </w:tr>
      <w:tr w14:paraId="4A73D283">
        <w:tblPrEx>
          <w:tblCellMar>
            <w:top w:w="0" w:type="dxa"/>
            <w:left w:w="108" w:type="dxa"/>
            <w:bottom w:w="0" w:type="dxa"/>
            <w:right w:w="108" w:type="dxa"/>
          </w:tblCellMar>
        </w:tblPrEx>
        <w:trPr>
          <w:trHeight w:val="454" w:hRule="atLeast"/>
          <w:jc w:val="center"/>
        </w:trPr>
        <w:tc>
          <w:tcPr>
            <w:tcW w:w="2720" w:type="dxa"/>
            <w:tcBorders>
              <w:top w:val="single" w:color="auto" w:sz="4" w:space="0"/>
              <w:left w:val="nil"/>
              <w:bottom w:val="single" w:color="auto" w:sz="4" w:space="0"/>
              <w:right w:val="single" w:color="auto" w:sz="4" w:space="0"/>
            </w:tcBorders>
            <w:vAlign w:val="center"/>
          </w:tcPr>
          <w:p w14:paraId="16998458">
            <w:pPr>
              <w:widowControl/>
              <w:snapToGrid w:val="0"/>
              <w:jc w:val="center"/>
              <w:rPr>
                <w:rFonts w:eastAsia="宋体"/>
                <w:kern w:val="0"/>
                <w:sz w:val="24"/>
                <w:highlight w:val="none"/>
              </w:rPr>
            </w:pPr>
            <w:r>
              <w:rPr>
                <w:rFonts w:eastAsia="宋体"/>
                <w:kern w:val="0"/>
                <w:sz w:val="24"/>
                <w:highlight w:val="none"/>
              </w:rPr>
              <w:t>指标名称</w:t>
            </w:r>
          </w:p>
        </w:tc>
        <w:tc>
          <w:tcPr>
            <w:tcW w:w="2721" w:type="dxa"/>
            <w:tcBorders>
              <w:top w:val="single" w:color="auto" w:sz="4" w:space="0"/>
              <w:left w:val="nil"/>
              <w:bottom w:val="single" w:color="auto" w:sz="4" w:space="0"/>
              <w:right w:val="single" w:color="auto" w:sz="4" w:space="0"/>
            </w:tcBorders>
            <w:vAlign w:val="center"/>
          </w:tcPr>
          <w:p w14:paraId="78553809">
            <w:pPr>
              <w:widowControl/>
              <w:snapToGrid w:val="0"/>
              <w:jc w:val="center"/>
              <w:rPr>
                <w:rFonts w:eastAsia="宋体"/>
                <w:kern w:val="0"/>
                <w:sz w:val="24"/>
                <w:highlight w:val="none"/>
              </w:rPr>
            </w:pPr>
            <w:r>
              <w:rPr>
                <w:rFonts w:eastAsia="宋体"/>
                <w:kern w:val="0"/>
                <w:sz w:val="24"/>
                <w:highlight w:val="none"/>
              </w:rPr>
              <w:t>2025年</w:t>
            </w:r>
          </w:p>
        </w:tc>
        <w:tc>
          <w:tcPr>
            <w:tcW w:w="2721" w:type="dxa"/>
            <w:tcBorders>
              <w:top w:val="single" w:color="auto" w:sz="4" w:space="0"/>
              <w:left w:val="nil"/>
              <w:bottom w:val="single" w:color="auto" w:sz="4" w:space="0"/>
              <w:right w:val="nil"/>
            </w:tcBorders>
            <w:vAlign w:val="center"/>
          </w:tcPr>
          <w:p w14:paraId="59FF1EC6">
            <w:pPr>
              <w:widowControl/>
              <w:snapToGrid w:val="0"/>
              <w:jc w:val="center"/>
              <w:rPr>
                <w:rFonts w:eastAsia="宋体"/>
                <w:kern w:val="0"/>
                <w:sz w:val="24"/>
                <w:highlight w:val="none"/>
              </w:rPr>
            </w:pPr>
            <w:r>
              <w:rPr>
                <w:rFonts w:eastAsia="宋体"/>
                <w:kern w:val="0"/>
                <w:sz w:val="24"/>
                <w:highlight w:val="none"/>
              </w:rPr>
              <w:t>2024年</w:t>
            </w:r>
          </w:p>
        </w:tc>
      </w:tr>
      <w:tr w14:paraId="5EF20D3B">
        <w:tblPrEx>
          <w:tblCellMar>
            <w:top w:w="0" w:type="dxa"/>
            <w:left w:w="108" w:type="dxa"/>
            <w:bottom w:w="0" w:type="dxa"/>
            <w:right w:w="108" w:type="dxa"/>
          </w:tblCellMar>
        </w:tblPrEx>
        <w:trPr>
          <w:trHeight w:val="454" w:hRule="atLeast"/>
          <w:jc w:val="center"/>
        </w:trPr>
        <w:tc>
          <w:tcPr>
            <w:tcW w:w="2720" w:type="dxa"/>
            <w:tcBorders>
              <w:top w:val="nil"/>
              <w:left w:val="nil"/>
              <w:bottom w:val="single" w:color="auto" w:sz="4" w:space="0"/>
              <w:right w:val="single" w:color="auto" w:sz="4" w:space="0"/>
            </w:tcBorders>
            <w:vAlign w:val="center"/>
          </w:tcPr>
          <w:p w14:paraId="2EC08E4C">
            <w:pPr>
              <w:widowControl/>
              <w:snapToGrid w:val="0"/>
              <w:jc w:val="left"/>
              <w:rPr>
                <w:rFonts w:eastAsia="宋体"/>
                <w:kern w:val="0"/>
                <w:sz w:val="24"/>
                <w:highlight w:val="none"/>
              </w:rPr>
            </w:pPr>
            <w:r>
              <w:rPr>
                <w:rFonts w:eastAsia="宋体"/>
                <w:kern w:val="0"/>
                <w:sz w:val="24"/>
                <w:highlight w:val="none"/>
              </w:rPr>
              <w:t>居民消费价格</w:t>
            </w:r>
          </w:p>
        </w:tc>
        <w:tc>
          <w:tcPr>
            <w:tcW w:w="2721" w:type="dxa"/>
            <w:tcBorders>
              <w:top w:val="single" w:color="auto" w:sz="4" w:space="0"/>
              <w:left w:val="nil"/>
              <w:bottom w:val="single" w:color="auto" w:sz="4" w:space="0"/>
              <w:right w:val="single" w:color="auto" w:sz="4" w:space="0"/>
            </w:tcBorders>
            <w:vAlign w:val="center"/>
          </w:tcPr>
          <w:p w14:paraId="17454F4A">
            <w:pPr>
              <w:snapToGrid w:val="0"/>
              <w:jc w:val="center"/>
              <w:rPr>
                <w:rFonts w:eastAsia="宋体"/>
                <w:sz w:val="24"/>
                <w:highlight w:val="none"/>
              </w:rPr>
            </w:pPr>
            <w:r>
              <w:rPr>
                <w:rFonts w:eastAsia="宋体"/>
                <w:sz w:val="24"/>
                <w:highlight w:val="none"/>
              </w:rPr>
              <w:t>-0.2</w:t>
            </w:r>
          </w:p>
        </w:tc>
        <w:tc>
          <w:tcPr>
            <w:tcW w:w="2721" w:type="dxa"/>
            <w:tcBorders>
              <w:top w:val="nil"/>
              <w:left w:val="single" w:color="auto" w:sz="4" w:space="0"/>
              <w:bottom w:val="single" w:color="auto" w:sz="4" w:space="0"/>
              <w:right w:val="nil"/>
            </w:tcBorders>
            <w:vAlign w:val="center"/>
          </w:tcPr>
          <w:p w14:paraId="37C6E4B5">
            <w:pPr>
              <w:snapToGrid w:val="0"/>
              <w:jc w:val="center"/>
              <w:rPr>
                <w:rFonts w:eastAsia="宋体"/>
                <w:sz w:val="24"/>
                <w:highlight w:val="none"/>
              </w:rPr>
            </w:pPr>
            <w:r>
              <w:rPr>
                <w:rFonts w:eastAsia="宋体"/>
                <w:sz w:val="24"/>
                <w:highlight w:val="none"/>
              </w:rPr>
              <w:t>0.4</w:t>
            </w:r>
          </w:p>
        </w:tc>
      </w:tr>
      <w:tr w14:paraId="25404CB4">
        <w:tblPrEx>
          <w:tblCellMar>
            <w:top w:w="0" w:type="dxa"/>
            <w:left w:w="108" w:type="dxa"/>
            <w:bottom w:w="0" w:type="dxa"/>
            <w:right w:w="108" w:type="dxa"/>
          </w:tblCellMar>
        </w:tblPrEx>
        <w:trPr>
          <w:trHeight w:val="454" w:hRule="atLeast"/>
          <w:jc w:val="center"/>
        </w:trPr>
        <w:tc>
          <w:tcPr>
            <w:tcW w:w="2720" w:type="dxa"/>
            <w:tcBorders>
              <w:top w:val="nil"/>
              <w:left w:val="nil"/>
              <w:bottom w:val="single" w:color="auto" w:sz="4" w:space="0"/>
              <w:right w:val="single" w:color="auto" w:sz="4" w:space="0"/>
            </w:tcBorders>
            <w:vAlign w:val="center"/>
          </w:tcPr>
          <w:p w14:paraId="7B5784CE">
            <w:pPr>
              <w:widowControl/>
              <w:snapToGrid w:val="0"/>
              <w:jc w:val="left"/>
              <w:rPr>
                <w:rFonts w:eastAsia="宋体"/>
                <w:kern w:val="0"/>
                <w:sz w:val="24"/>
                <w:highlight w:val="none"/>
              </w:rPr>
            </w:pPr>
            <w:r>
              <w:rPr>
                <w:rFonts w:eastAsia="宋体"/>
                <w:kern w:val="0"/>
                <w:sz w:val="24"/>
                <w:highlight w:val="none"/>
              </w:rPr>
              <w:t>一、食品烟酒</w:t>
            </w:r>
          </w:p>
        </w:tc>
        <w:tc>
          <w:tcPr>
            <w:tcW w:w="2721" w:type="dxa"/>
            <w:tcBorders>
              <w:top w:val="single" w:color="auto" w:sz="4" w:space="0"/>
              <w:left w:val="nil"/>
              <w:bottom w:val="single" w:color="auto" w:sz="4" w:space="0"/>
              <w:right w:val="single" w:color="auto" w:sz="4" w:space="0"/>
            </w:tcBorders>
            <w:vAlign w:val="center"/>
          </w:tcPr>
          <w:p w14:paraId="477AA5B4">
            <w:pPr>
              <w:snapToGrid w:val="0"/>
              <w:jc w:val="center"/>
              <w:rPr>
                <w:rFonts w:eastAsia="宋体"/>
                <w:sz w:val="24"/>
                <w:highlight w:val="none"/>
              </w:rPr>
            </w:pPr>
            <w:r>
              <w:rPr>
                <w:rFonts w:eastAsia="宋体"/>
                <w:sz w:val="24"/>
                <w:highlight w:val="none"/>
              </w:rPr>
              <w:t>-1.1</w:t>
            </w:r>
          </w:p>
        </w:tc>
        <w:tc>
          <w:tcPr>
            <w:tcW w:w="2721" w:type="dxa"/>
            <w:tcBorders>
              <w:top w:val="nil"/>
              <w:left w:val="single" w:color="auto" w:sz="4" w:space="0"/>
              <w:bottom w:val="single" w:color="auto" w:sz="4" w:space="0"/>
              <w:right w:val="nil"/>
            </w:tcBorders>
            <w:vAlign w:val="center"/>
          </w:tcPr>
          <w:p w14:paraId="183DA9A7">
            <w:pPr>
              <w:snapToGrid w:val="0"/>
              <w:jc w:val="center"/>
              <w:rPr>
                <w:rFonts w:eastAsia="宋体"/>
                <w:sz w:val="24"/>
                <w:highlight w:val="none"/>
              </w:rPr>
            </w:pPr>
            <w:r>
              <w:rPr>
                <w:rFonts w:eastAsia="宋体"/>
                <w:sz w:val="24"/>
                <w:highlight w:val="none"/>
              </w:rPr>
              <w:t>0.7</w:t>
            </w:r>
          </w:p>
        </w:tc>
      </w:tr>
      <w:tr w14:paraId="1D706144">
        <w:tblPrEx>
          <w:tblCellMar>
            <w:top w:w="0" w:type="dxa"/>
            <w:left w:w="108" w:type="dxa"/>
            <w:bottom w:w="0" w:type="dxa"/>
            <w:right w:w="108" w:type="dxa"/>
          </w:tblCellMar>
        </w:tblPrEx>
        <w:trPr>
          <w:trHeight w:val="454" w:hRule="atLeast"/>
          <w:jc w:val="center"/>
        </w:trPr>
        <w:tc>
          <w:tcPr>
            <w:tcW w:w="2720" w:type="dxa"/>
            <w:tcBorders>
              <w:top w:val="nil"/>
              <w:left w:val="nil"/>
              <w:bottom w:val="single" w:color="auto" w:sz="4" w:space="0"/>
              <w:right w:val="single" w:color="auto" w:sz="4" w:space="0"/>
            </w:tcBorders>
            <w:vAlign w:val="center"/>
          </w:tcPr>
          <w:p w14:paraId="3E9B20DD">
            <w:pPr>
              <w:widowControl/>
              <w:snapToGrid w:val="0"/>
              <w:jc w:val="left"/>
              <w:rPr>
                <w:rFonts w:eastAsia="宋体"/>
                <w:kern w:val="0"/>
                <w:sz w:val="24"/>
                <w:highlight w:val="none"/>
              </w:rPr>
            </w:pPr>
            <w:r>
              <w:rPr>
                <w:rFonts w:eastAsia="宋体"/>
                <w:kern w:val="0"/>
                <w:sz w:val="24"/>
                <w:highlight w:val="none"/>
              </w:rPr>
              <w:t>二、衣着</w:t>
            </w:r>
          </w:p>
        </w:tc>
        <w:tc>
          <w:tcPr>
            <w:tcW w:w="2721" w:type="dxa"/>
            <w:tcBorders>
              <w:top w:val="single" w:color="auto" w:sz="4" w:space="0"/>
              <w:left w:val="nil"/>
              <w:bottom w:val="single" w:color="auto" w:sz="4" w:space="0"/>
              <w:right w:val="single" w:color="auto" w:sz="4" w:space="0"/>
            </w:tcBorders>
            <w:vAlign w:val="center"/>
          </w:tcPr>
          <w:p w14:paraId="22B5F1D7">
            <w:pPr>
              <w:snapToGrid w:val="0"/>
              <w:jc w:val="center"/>
              <w:rPr>
                <w:rFonts w:eastAsia="宋体"/>
                <w:sz w:val="24"/>
                <w:highlight w:val="none"/>
              </w:rPr>
            </w:pPr>
            <w:r>
              <w:rPr>
                <w:rFonts w:eastAsia="宋体"/>
                <w:sz w:val="24"/>
                <w:highlight w:val="none"/>
              </w:rPr>
              <w:t>1.9</w:t>
            </w:r>
          </w:p>
        </w:tc>
        <w:tc>
          <w:tcPr>
            <w:tcW w:w="2721" w:type="dxa"/>
            <w:tcBorders>
              <w:top w:val="nil"/>
              <w:left w:val="single" w:color="auto" w:sz="4" w:space="0"/>
              <w:bottom w:val="single" w:color="auto" w:sz="4" w:space="0"/>
              <w:right w:val="nil"/>
            </w:tcBorders>
            <w:vAlign w:val="center"/>
          </w:tcPr>
          <w:p w14:paraId="737D26D1">
            <w:pPr>
              <w:snapToGrid w:val="0"/>
              <w:jc w:val="center"/>
              <w:rPr>
                <w:rFonts w:eastAsia="宋体"/>
                <w:sz w:val="24"/>
                <w:highlight w:val="none"/>
              </w:rPr>
            </w:pPr>
            <w:r>
              <w:rPr>
                <w:rFonts w:eastAsia="宋体"/>
                <w:sz w:val="24"/>
                <w:highlight w:val="none"/>
              </w:rPr>
              <w:t>1.1</w:t>
            </w:r>
          </w:p>
        </w:tc>
      </w:tr>
      <w:tr w14:paraId="436E85B7">
        <w:tblPrEx>
          <w:tblCellMar>
            <w:top w:w="0" w:type="dxa"/>
            <w:left w:w="108" w:type="dxa"/>
            <w:bottom w:w="0" w:type="dxa"/>
            <w:right w:w="108" w:type="dxa"/>
          </w:tblCellMar>
        </w:tblPrEx>
        <w:trPr>
          <w:trHeight w:val="454" w:hRule="atLeast"/>
          <w:jc w:val="center"/>
        </w:trPr>
        <w:tc>
          <w:tcPr>
            <w:tcW w:w="2720" w:type="dxa"/>
            <w:tcBorders>
              <w:top w:val="nil"/>
              <w:left w:val="nil"/>
              <w:bottom w:val="single" w:color="auto" w:sz="4" w:space="0"/>
              <w:right w:val="single" w:color="auto" w:sz="4" w:space="0"/>
            </w:tcBorders>
            <w:vAlign w:val="center"/>
          </w:tcPr>
          <w:p w14:paraId="06DB6227">
            <w:pPr>
              <w:widowControl/>
              <w:snapToGrid w:val="0"/>
              <w:jc w:val="left"/>
              <w:rPr>
                <w:rFonts w:eastAsia="宋体"/>
                <w:kern w:val="0"/>
                <w:sz w:val="24"/>
                <w:highlight w:val="none"/>
              </w:rPr>
            </w:pPr>
            <w:r>
              <w:rPr>
                <w:rFonts w:eastAsia="宋体"/>
                <w:kern w:val="0"/>
                <w:sz w:val="24"/>
                <w:highlight w:val="none"/>
              </w:rPr>
              <w:t>三、居住</w:t>
            </w:r>
          </w:p>
        </w:tc>
        <w:tc>
          <w:tcPr>
            <w:tcW w:w="2721" w:type="dxa"/>
            <w:tcBorders>
              <w:top w:val="single" w:color="auto" w:sz="4" w:space="0"/>
              <w:left w:val="nil"/>
              <w:bottom w:val="single" w:color="auto" w:sz="4" w:space="0"/>
              <w:right w:val="single" w:color="auto" w:sz="4" w:space="0"/>
            </w:tcBorders>
            <w:vAlign w:val="center"/>
          </w:tcPr>
          <w:p w14:paraId="32E85F39">
            <w:pPr>
              <w:snapToGrid w:val="0"/>
              <w:jc w:val="center"/>
              <w:rPr>
                <w:rFonts w:eastAsia="宋体"/>
                <w:sz w:val="24"/>
                <w:highlight w:val="none"/>
              </w:rPr>
            </w:pPr>
            <w:r>
              <w:rPr>
                <w:rFonts w:eastAsia="宋体"/>
                <w:sz w:val="24"/>
                <w:highlight w:val="none"/>
              </w:rPr>
              <w:t>-0.5</w:t>
            </w:r>
          </w:p>
        </w:tc>
        <w:tc>
          <w:tcPr>
            <w:tcW w:w="2721" w:type="dxa"/>
            <w:tcBorders>
              <w:top w:val="nil"/>
              <w:left w:val="single" w:color="auto" w:sz="4" w:space="0"/>
              <w:bottom w:val="single" w:color="auto" w:sz="4" w:space="0"/>
              <w:right w:val="nil"/>
            </w:tcBorders>
            <w:vAlign w:val="center"/>
          </w:tcPr>
          <w:p w14:paraId="0E06E64C">
            <w:pPr>
              <w:snapToGrid w:val="0"/>
              <w:jc w:val="center"/>
              <w:rPr>
                <w:rFonts w:eastAsia="宋体"/>
                <w:sz w:val="24"/>
                <w:highlight w:val="none"/>
              </w:rPr>
            </w:pPr>
            <w:r>
              <w:rPr>
                <w:rFonts w:eastAsia="宋体"/>
                <w:sz w:val="24"/>
                <w:highlight w:val="none"/>
              </w:rPr>
              <w:t>-0.2</w:t>
            </w:r>
          </w:p>
        </w:tc>
      </w:tr>
      <w:tr w14:paraId="572BFAA5">
        <w:tblPrEx>
          <w:tblCellMar>
            <w:top w:w="0" w:type="dxa"/>
            <w:left w:w="108" w:type="dxa"/>
            <w:bottom w:w="0" w:type="dxa"/>
            <w:right w:w="108" w:type="dxa"/>
          </w:tblCellMar>
        </w:tblPrEx>
        <w:trPr>
          <w:trHeight w:val="454" w:hRule="atLeast"/>
          <w:jc w:val="center"/>
        </w:trPr>
        <w:tc>
          <w:tcPr>
            <w:tcW w:w="2720" w:type="dxa"/>
            <w:tcBorders>
              <w:top w:val="nil"/>
              <w:left w:val="nil"/>
              <w:bottom w:val="single" w:color="auto" w:sz="4" w:space="0"/>
              <w:right w:val="single" w:color="auto" w:sz="4" w:space="0"/>
            </w:tcBorders>
            <w:vAlign w:val="center"/>
          </w:tcPr>
          <w:p w14:paraId="6A86B154">
            <w:pPr>
              <w:widowControl/>
              <w:snapToGrid w:val="0"/>
              <w:jc w:val="left"/>
              <w:rPr>
                <w:rFonts w:eastAsia="宋体"/>
                <w:kern w:val="0"/>
                <w:sz w:val="24"/>
                <w:highlight w:val="none"/>
              </w:rPr>
            </w:pPr>
            <w:r>
              <w:rPr>
                <w:rFonts w:eastAsia="宋体"/>
                <w:kern w:val="0"/>
                <w:sz w:val="24"/>
                <w:highlight w:val="none"/>
              </w:rPr>
              <w:t>四、生活用品及服务</w:t>
            </w:r>
          </w:p>
        </w:tc>
        <w:tc>
          <w:tcPr>
            <w:tcW w:w="2721" w:type="dxa"/>
            <w:tcBorders>
              <w:top w:val="single" w:color="auto" w:sz="4" w:space="0"/>
              <w:left w:val="nil"/>
              <w:bottom w:val="single" w:color="auto" w:sz="4" w:space="0"/>
              <w:right w:val="single" w:color="auto" w:sz="4" w:space="0"/>
            </w:tcBorders>
            <w:vAlign w:val="center"/>
          </w:tcPr>
          <w:p w14:paraId="69E42629">
            <w:pPr>
              <w:snapToGrid w:val="0"/>
              <w:jc w:val="center"/>
              <w:rPr>
                <w:rFonts w:eastAsia="宋体"/>
                <w:sz w:val="24"/>
                <w:highlight w:val="none"/>
              </w:rPr>
            </w:pPr>
            <w:r>
              <w:rPr>
                <w:rFonts w:eastAsia="宋体"/>
                <w:sz w:val="24"/>
                <w:highlight w:val="none"/>
              </w:rPr>
              <w:t>1.3</w:t>
            </w:r>
          </w:p>
        </w:tc>
        <w:tc>
          <w:tcPr>
            <w:tcW w:w="2721" w:type="dxa"/>
            <w:tcBorders>
              <w:top w:val="nil"/>
              <w:left w:val="single" w:color="auto" w:sz="4" w:space="0"/>
              <w:bottom w:val="single" w:color="auto" w:sz="4" w:space="0"/>
              <w:right w:val="nil"/>
            </w:tcBorders>
            <w:vAlign w:val="center"/>
          </w:tcPr>
          <w:p w14:paraId="46D5534B">
            <w:pPr>
              <w:snapToGrid w:val="0"/>
              <w:jc w:val="center"/>
              <w:rPr>
                <w:rFonts w:eastAsia="宋体"/>
                <w:sz w:val="24"/>
                <w:highlight w:val="none"/>
              </w:rPr>
            </w:pPr>
            <w:r>
              <w:rPr>
                <w:rFonts w:eastAsia="宋体"/>
                <w:sz w:val="24"/>
                <w:highlight w:val="none"/>
              </w:rPr>
              <w:t>0.7</w:t>
            </w:r>
          </w:p>
        </w:tc>
      </w:tr>
      <w:tr w14:paraId="458F1C05">
        <w:tblPrEx>
          <w:tblCellMar>
            <w:top w:w="0" w:type="dxa"/>
            <w:left w:w="108" w:type="dxa"/>
            <w:bottom w:w="0" w:type="dxa"/>
            <w:right w:w="108" w:type="dxa"/>
          </w:tblCellMar>
        </w:tblPrEx>
        <w:trPr>
          <w:trHeight w:val="454" w:hRule="atLeast"/>
          <w:jc w:val="center"/>
        </w:trPr>
        <w:tc>
          <w:tcPr>
            <w:tcW w:w="2720" w:type="dxa"/>
            <w:tcBorders>
              <w:top w:val="nil"/>
              <w:left w:val="nil"/>
              <w:bottom w:val="single" w:color="auto" w:sz="4" w:space="0"/>
              <w:right w:val="single" w:color="auto" w:sz="4" w:space="0"/>
            </w:tcBorders>
            <w:vAlign w:val="center"/>
          </w:tcPr>
          <w:p w14:paraId="6BF04B0E">
            <w:pPr>
              <w:widowControl/>
              <w:snapToGrid w:val="0"/>
              <w:jc w:val="left"/>
              <w:rPr>
                <w:rFonts w:eastAsia="宋体"/>
                <w:kern w:val="0"/>
                <w:sz w:val="24"/>
                <w:highlight w:val="none"/>
              </w:rPr>
            </w:pPr>
            <w:r>
              <w:rPr>
                <w:rFonts w:eastAsia="宋体"/>
                <w:kern w:val="0"/>
                <w:sz w:val="24"/>
                <w:highlight w:val="none"/>
              </w:rPr>
              <w:t>五、交通通信</w:t>
            </w:r>
          </w:p>
        </w:tc>
        <w:tc>
          <w:tcPr>
            <w:tcW w:w="2721" w:type="dxa"/>
            <w:tcBorders>
              <w:top w:val="single" w:color="auto" w:sz="4" w:space="0"/>
              <w:left w:val="nil"/>
              <w:bottom w:val="single" w:color="auto" w:sz="4" w:space="0"/>
              <w:right w:val="single" w:color="auto" w:sz="4" w:space="0"/>
            </w:tcBorders>
            <w:vAlign w:val="center"/>
          </w:tcPr>
          <w:p w14:paraId="721418B7">
            <w:pPr>
              <w:snapToGrid w:val="0"/>
              <w:jc w:val="center"/>
              <w:rPr>
                <w:rFonts w:eastAsia="宋体"/>
                <w:sz w:val="24"/>
                <w:highlight w:val="none"/>
              </w:rPr>
            </w:pPr>
            <w:r>
              <w:rPr>
                <w:rFonts w:eastAsia="宋体"/>
                <w:sz w:val="24"/>
                <w:highlight w:val="none"/>
              </w:rPr>
              <w:t>-3.5</w:t>
            </w:r>
          </w:p>
        </w:tc>
        <w:tc>
          <w:tcPr>
            <w:tcW w:w="2721" w:type="dxa"/>
            <w:tcBorders>
              <w:top w:val="nil"/>
              <w:left w:val="single" w:color="auto" w:sz="4" w:space="0"/>
              <w:bottom w:val="single" w:color="auto" w:sz="4" w:space="0"/>
              <w:right w:val="nil"/>
            </w:tcBorders>
            <w:vAlign w:val="center"/>
          </w:tcPr>
          <w:p w14:paraId="4001850D">
            <w:pPr>
              <w:snapToGrid w:val="0"/>
              <w:jc w:val="center"/>
              <w:rPr>
                <w:rFonts w:eastAsia="宋体"/>
                <w:sz w:val="24"/>
                <w:highlight w:val="none"/>
              </w:rPr>
            </w:pPr>
            <w:r>
              <w:rPr>
                <w:rFonts w:eastAsia="宋体"/>
                <w:sz w:val="24"/>
                <w:highlight w:val="none"/>
              </w:rPr>
              <w:t>-2.6</w:t>
            </w:r>
          </w:p>
        </w:tc>
      </w:tr>
      <w:tr w14:paraId="33193E9E">
        <w:tblPrEx>
          <w:tblCellMar>
            <w:top w:w="0" w:type="dxa"/>
            <w:left w:w="108" w:type="dxa"/>
            <w:bottom w:w="0" w:type="dxa"/>
            <w:right w:w="108" w:type="dxa"/>
          </w:tblCellMar>
        </w:tblPrEx>
        <w:trPr>
          <w:trHeight w:val="454" w:hRule="atLeast"/>
          <w:jc w:val="center"/>
        </w:trPr>
        <w:tc>
          <w:tcPr>
            <w:tcW w:w="2720" w:type="dxa"/>
            <w:tcBorders>
              <w:top w:val="nil"/>
              <w:left w:val="nil"/>
              <w:bottom w:val="single" w:color="auto" w:sz="4" w:space="0"/>
              <w:right w:val="single" w:color="auto" w:sz="4" w:space="0"/>
            </w:tcBorders>
            <w:vAlign w:val="center"/>
          </w:tcPr>
          <w:p w14:paraId="59EE4A46">
            <w:pPr>
              <w:widowControl/>
              <w:snapToGrid w:val="0"/>
              <w:jc w:val="left"/>
              <w:rPr>
                <w:rFonts w:eastAsia="宋体"/>
                <w:kern w:val="0"/>
                <w:sz w:val="24"/>
                <w:highlight w:val="none"/>
              </w:rPr>
            </w:pPr>
            <w:r>
              <w:rPr>
                <w:rFonts w:eastAsia="宋体"/>
                <w:kern w:val="0"/>
                <w:sz w:val="24"/>
                <w:highlight w:val="none"/>
              </w:rPr>
              <w:t>六、教育文化娱乐</w:t>
            </w:r>
          </w:p>
        </w:tc>
        <w:tc>
          <w:tcPr>
            <w:tcW w:w="2721" w:type="dxa"/>
            <w:tcBorders>
              <w:top w:val="single" w:color="auto" w:sz="4" w:space="0"/>
              <w:left w:val="nil"/>
              <w:bottom w:val="single" w:color="auto" w:sz="4" w:space="0"/>
              <w:right w:val="single" w:color="auto" w:sz="4" w:space="0"/>
            </w:tcBorders>
            <w:vAlign w:val="center"/>
          </w:tcPr>
          <w:p w14:paraId="0DB2EB3C">
            <w:pPr>
              <w:snapToGrid w:val="0"/>
              <w:jc w:val="center"/>
              <w:rPr>
                <w:rFonts w:eastAsia="宋体"/>
                <w:sz w:val="24"/>
                <w:highlight w:val="none"/>
              </w:rPr>
            </w:pPr>
            <w:r>
              <w:rPr>
                <w:rFonts w:eastAsia="宋体"/>
                <w:sz w:val="24"/>
                <w:highlight w:val="none"/>
              </w:rPr>
              <w:t>0.8</w:t>
            </w:r>
          </w:p>
        </w:tc>
        <w:tc>
          <w:tcPr>
            <w:tcW w:w="2721" w:type="dxa"/>
            <w:tcBorders>
              <w:top w:val="nil"/>
              <w:left w:val="single" w:color="auto" w:sz="4" w:space="0"/>
              <w:bottom w:val="single" w:color="auto" w:sz="4" w:space="0"/>
              <w:right w:val="nil"/>
            </w:tcBorders>
            <w:vAlign w:val="center"/>
          </w:tcPr>
          <w:p w14:paraId="230B9F39">
            <w:pPr>
              <w:snapToGrid w:val="0"/>
              <w:jc w:val="center"/>
              <w:rPr>
                <w:rFonts w:eastAsia="宋体"/>
                <w:sz w:val="24"/>
                <w:highlight w:val="none"/>
              </w:rPr>
            </w:pPr>
            <w:r>
              <w:rPr>
                <w:rFonts w:eastAsia="宋体"/>
                <w:sz w:val="24"/>
                <w:highlight w:val="none"/>
              </w:rPr>
              <w:t>1.9</w:t>
            </w:r>
          </w:p>
        </w:tc>
      </w:tr>
      <w:tr w14:paraId="0266D78D">
        <w:tblPrEx>
          <w:tblCellMar>
            <w:top w:w="0" w:type="dxa"/>
            <w:left w:w="108" w:type="dxa"/>
            <w:bottom w:w="0" w:type="dxa"/>
            <w:right w:w="108" w:type="dxa"/>
          </w:tblCellMar>
        </w:tblPrEx>
        <w:trPr>
          <w:trHeight w:val="454" w:hRule="atLeast"/>
          <w:jc w:val="center"/>
        </w:trPr>
        <w:tc>
          <w:tcPr>
            <w:tcW w:w="2720" w:type="dxa"/>
            <w:tcBorders>
              <w:top w:val="nil"/>
              <w:left w:val="nil"/>
              <w:bottom w:val="single" w:color="auto" w:sz="4" w:space="0"/>
              <w:right w:val="single" w:color="auto" w:sz="4" w:space="0"/>
            </w:tcBorders>
            <w:vAlign w:val="center"/>
          </w:tcPr>
          <w:p w14:paraId="32531A84">
            <w:pPr>
              <w:widowControl/>
              <w:snapToGrid w:val="0"/>
              <w:jc w:val="left"/>
              <w:rPr>
                <w:rFonts w:eastAsia="宋体"/>
                <w:kern w:val="0"/>
                <w:sz w:val="24"/>
                <w:highlight w:val="none"/>
              </w:rPr>
            </w:pPr>
            <w:r>
              <w:rPr>
                <w:rFonts w:eastAsia="宋体"/>
                <w:kern w:val="0"/>
                <w:sz w:val="24"/>
                <w:highlight w:val="none"/>
              </w:rPr>
              <w:t>七、医疗保健</w:t>
            </w:r>
          </w:p>
        </w:tc>
        <w:tc>
          <w:tcPr>
            <w:tcW w:w="2721" w:type="dxa"/>
            <w:tcBorders>
              <w:top w:val="single" w:color="auto" w:sz="4" w:space="0"/>
              <w:left w:val="nil"/>
              <w:bottom w:val="single" w:color="auto" w:sz="4" w:space="0"/>
              <w:right w:val="single" w:color="auto" w:sz="4" w:space="0"/>
            </w:tcBorders>
            <w:vAlign w:val="center"/>
          </w:tcPr>
          <w:p w14:paraId="31361D64">
            <w:pPr>
              <w:snapToGrid w:val="0"/>
              <w:jc w:val="center"/>
              <w:rPr>
                <w:rFonts w:eastAsia="宋体"/>
                <w:sz w:val="24"/>
                <w:highlight w:val="none"/>
              </w:rPr>
            </w:pPr>
            <w:r>
              <w:rPr>
                <w:rFonts w:eastAsia="宋体"/>
                <w:sz w:val="24"/>
                <w:highlight w:val="none"/>
              </w:rPr>
              <w:t>1.4</w:t>
            </w:r>
          </w:p>
        </w:tc>
        <w:tc>
          <w:tcPr>
            <w:tcW w:w="2721" w:type="dxa"/>
            <w:tcBorders>
              <w:top w:val="nil"/>
              <w:left w:val="single" w:color="auto" w:sz="4" w:space="0"/>
              <w:bottom w:val="single" w:color="auto" w:sz="4" w:space="0"/>
              <w:right w:val="nil"/>
            </w:tcBorders>
            <w:vAlign w:val="center"/>
          </w:tcPr>
          <w:p w14:paraId="16A02474">
            <w:pPr>
              <w:snapToGrid w:val="0"/>
              <w:jc w:val="center"/>
              <w:rPr>
                <w:rFonts w:eastAsia="宋体"/>
                <w:sz w:val="24"/>
                <w:highlight w:val="none"/>
              </w:rPr>
            </w:pPr>
            <w:r>
              <w:rPr>
                <w:rFonts w:eastAsia="宋体"/>
                <w:sz w:val="24"/>
                <w:highlight w:val="none"/>
              </w:rPr>
              <w:t>3.0</w:t>
            </w:r>
          </w:p>
        </w:tc>
      </w:tr>
      <w:tr w14:paraId="52BB40B7">
        <w:tblPrEx>
          <w:tblCellMar>
            <w:top w:w="0" w:type="dxa"/>
            <w:left w:w="108" w:type="dxa"/>
            <w:bottom w:w="0" w:type="dxa"/>
            <w:right w:w="108" w:type="dxa"/>
          </w:tblCellMar>
        </w:tblPrEx>
        <w:trPr>
          <w:trHeight w:val="454" w:hRule="atLeast"/>
          <w:jc w:val="center"/>
        </w:trPr>
        <w:tc>
          <w:tcPr>
            <w:tcW w:w="2720" w:type="dxa"/>
            <w:tcBorders>
              <w:top w:val="nil"/>
              <w:left w:val="nil"/>
              <w:bottom w:val="single" w:color="auto" w:sz="4" w:space="0"/>
              <w:right w:val="single" w:color="auto" w:sz="4" w:space="0"/>
            </w:tcBorders>
            <w:vAlign w:val="center"/>
          </w:tcPr>
          <w:p w14:paraId="21A3A2EC">
            <w:pPr>
              <w:widowControl/>
              <w:snapToGrid w:val="0"/>
              <w:jc w:val="left"/>
              <w:rPr>
                <w:rFonts w:eastAsia="宋体"/>
                <w:kern w:val="0"/>
                <w:sz w:val="24"/>
                <w:highlight w:val="none"/>
              </w:rPr>
            </w:pPr>
            <w:r>
              <w:rPr>
                <w:rFonts w:eastAsia="宋体"/>
                <w:kern w:val="0"/>
                <w:sz w:val="24"/>
                <w:highlight w:val="none"/>
              </w:rPr>
              <w:t>八、其他用品及服务</w:t>
            </w:r>
          </w:p>
        </w:tc>
        <w:tc>
          <w:tcPr>
            <w:tcW w:w="2721" w:type="dxa"/>
            <w:tcBorders>
              <w:top w:val="single" w:color="auto" w:sz="4" w:space="0"/>
              <w:left w:val="nil"/>
              <w:bottom w:val="single" w:color="auto" w:sz="4" w:space="0"/>
              <w:right w:val="single" w:color="auto" w:sz="4" w:space="0"/>
            </w:tcBorders>
            <w:vAlign w:val="center"/>
          </w:tcPr>
          <w:p w14:paraId="05B51C41">
            <w:pPr>
              <w:snapToGrid w:val="0"/>
              <w:jc w:val="center"/>
              <w:rPr>
                <w:rFonts w:eastAsia="宋体"/>
                <w:sz w:val="24"/>
                <w:highlight w:val="none"/>
              </w:rPr>
            </w:pPr>
            <w:r>
              <w:rPr>
                <w:rFonts w:eastAsia="宋体"/>
                <w:sz w:val="24"/>
                <w:highlight w:val="none"/>
              </w:rPr>
              <w:t>10.8</w:t>
            </w:r>
          </w:p>
        </w:tc>
        <w:tc>
          <w:tcPr>
            <w:tcW w:w="2721" w:type="dxa"/>
            <w:tcBorders>
              <w:top w:val="nil"/>
              <w:left w:val="single" w:color="auto" w:sz="4" w:space="0"/>
              <w:bottom w:val="single" w:color="auto" w:sz="4" w:space="0"/>
              <w:right w:val="nil"/>
            </w:tcBorders>
            <w:vAlign w:val="center"/>
          </w:tcPr>
          <w:p w14:paraId="7C2F9A51">
            <w:pPr>
              <w:snapToGrid w:val="0"/>
              <w:jc w:val="center"/>
              <w:rPr>
                <w:rFonts w:eastAsia="宋体"/>
                <w:sz w:val="24"/>
                <w:highlight w:val="none"/>
              </w:rPr>
            </w:pPr>
            <w:r>
              <w:rPr>
                <w:rFonts w:eastAsia="宋体"/>
                <w:sz w:val="24"/>
                <w:highlight w:val="none"/>
              </w:rPr>
              <w:t>3.9</w:t>
            </w:r>
          </w:p>
        </w:tc>
      </w:tr>
    </w:tbl>
    <w:p w14:paraId="17F42DBB">
      <w:pPr>
        <w:ind w:firstLine="632" w:firstLineChars="200"/>
        <w:rPr>
          <w:rFonts w:eastAsia="仿宋_GB2312"/>
          <w:color w:val="FF0000"/>
          <w:szCs w:val="32"/>
          <w:highlight w:val="none"/>
        </w:rPr>
      </w:pPr>
      <w:r>
        <w:rPr>
          <w:rFonts w:eastAsia="仿宋_GB2312"/>
          <w:bCs/>
          <w:color w:val="000000" w:themeColor="text1"/>
          <w:szCs w:val="32"/>
          <w:highlight w:val="none"/>
          <w14:textFill>
            <w14:solidFill>
              <w14:schemeClr w14:val="tx1"/>
            </w14:solidFill>
          </w14:textFill>
        </w:rPr>
        <w:t>全年全市经营主体本期登记197656户，经营主体期末实有1833213户，同比增长0.8%。</w:t>
      </w:r>
    </w:p>
    <w:p w14:paraId="03F8807C">
      <w:pPr>
        <w:adjustRightInd w:val="0"/>
        <w:snapToGrid w:val="0"/>
        <w:spacing w:line="560" w:lineRule="exact"/>
        <w:ind w:firstLine="632" w:firstLineChars="200"/>
        <w:rPr>
          <w:rFonts w:eastAsia="仿宋_GB2312"/>
          <w:szCs w:val="32"/>
          <w:highlight w:val="none"/>
        </w:rPr>
      </w:pPr>
      <w:r>
        <w:rPr>
          <w:rFonts w:eastAsia="仿宋_GB2312"/>
          <w:szCs w:val="32"/>
          <w:highlight w:val="none"/>
        </w:rPr>
        <w:t>因地制宜发展新质生产力。构建</w:t>
      </w:r>
      <w:r>
        <w:rPr>
          <w:rFonts w:hint="eastAsia" w:ascii="仿宋_GB2312" w:eastAsia="仿宋_GB2312"/>
          <w:szCs w:val="32"/>
          <w:highlight w:val="none"/>
        </w:rPr>
        <w:t>“</w:t>
      </w:r>
      <w:r>
        <w:rPr>
          <w:rFonts w:eastAsia="仿宋_GB2312"/>
          <w:szCs w:val="32"/>
          <w:highlight w:val="none"/>
        </w:rPr>
        <w:t>1+4+6</w:t>
      </w:r>
      <w:r>
        <w:rPr>
          <w:rFonts w:hint="eastAsia" w:ascii="仿宋_GB2312" w:eastAsia="仿宋_GB2312"/>
          <w:szCs w:val="32"/>
          <w:highlight w:val="none"/>
        </w:rPr>
        <w:t>”</w:t>
      </w:r>
      <w:r>
        <w:rPr>
          <w:rFonts w:eastAsia="仿宋_GB2312"/>
          <w:szCs w:val="32"/>
          <w:highlight w:val="none"/>
        </w:rPr>
        <w:t>产业攻坚体系，软件和信息服务业成为首个万亿级产业，智能电网产业规模超五千亿元。新增国家制造业单项冠军企业16家、居全省第一，新增百亿级链主企业6家、国家专精特新</w:t>
      </w:r>
      <w:r>
        <w:rPr>
          <w:rFonts w:hint="eastAsia" w:ascii="仿宋_GB2312" w:eastAsia="仿宋_GB2312"/>
          <w:szCs w:val="32"/>
          <w:highlight w:val="none"/>
        </w:rPr>
        <w:t>“小巨人”</w:t>
      </w:r>
      <w:r>
        <w:rPr>
          <w:rFonts w:eastAsia="仿宋_GB2312"/>
          <w:szCs w:val="32"/>
          <w:highlight w:val="none"/>
        </w:rPr>
        <w:t>企业125家，南钢集团获评钢铁领域全省唯一领航级智能工厂。未来网络试验设施通过国家验收，中国科学院工业人工智能研究所正式成立，全国高校区域技术转移转化中心落地成果超130项。</w:t>
      </w:r>
    </w:p>
    <w:p w14:paraId="04470990">
      <w:pPr>
        <w:adjustRightInd w:val="0"/>
        <w:snapToGrid w:val="0"/>
        <w:spacing w:line="560" w:lineRule="exact"/>
        <w:ind w:firstLine="632" w:firstLineChars="200"/>
        <w:rPr>
          <w:rFonts w:eastAsia="黑体"/>
          <w:szCs w:val="32"/>
          <w:highlight w:val="none"/>
        </w:rPr>
      </w:pPr>
      <w:r>
        <w:rPr>
          <w:rFonts w:eastAsia="黑体"/>
          <w:szCs w:val="32"/>
          <w:highlight w:val="none"/>
        </w:rPr>
        <w:t>二、农业</w:t>
      </w:r>
    </w:p>
    <w:p w14:paraId="57918AF6">
      <w:pPr>
        <w:adjustRightInd w:val="0"/>
        <w:snapToGrid w:val="0"/>
        <w:spacing w:line="560" w:lineRule="exact"/>
        <w:ind w:firstLine="632" w:firstLineChars="200"/>
        <w:rPr>
          <w:rFonts w:eastAsia="仿宋_GB2312"/>
          <w:bCs/>
          <w:szCs w:val="32"/>
          <w:highlight w:val="none"/>
        </w:rPr>
      </w:pPr>
      <w:r>
        <w:rPr>
          <w:rFonts w:eastAsia="仿宋_GB2312"/>
          <w:bCs/>
          <w:szCs w:val="32"/>
          <w:highlight w:val="none"/>
        </w:rPr>
        <w:t>全年完成农林牧渔业总产值569.20亿元，同比增长2.6%。分行业看，农业（种植业）实现产值301.50亿元，增长2.8%；林业实现产值21.80亿元，下降8.8%；畜牧业实现产值28.70亿元，下降1.3%；渔业实现产值161.00亿元，增长3.0%；农林牧渔专业及辅助性活动实现产值56.20亿元，增长7.9%。</w:t>
      </w:r>
    </w:p>
    <w:p w14:paraId="5CABF1C7">
      <w:pPr>
        <w:adjustRightInd w:val="0"/>
        <w:snapToGrid w:val="0"/>
        <w:spacing w:line="560" w:lineRule="exact"/>
        <w:ind w:firstLine="632" w:firstLineChars="200"/>
        <w:rPr>
          <w:rFonts w:eastAsia="仿宋_GB2312"/>
          <w:szCs w:val="32"/>
          <w:highlight w:val="none"/>
        </w:rPr>
      </w:pPr>
      <w:r>
        <w:rPr>
          <w:rFonts w:eastAsia="仿宋_GB2312"/>
          <w:szCs w:val="32"/>
          <w:highlight w:val="none"/>
        </w:rPr>
        <w:t>全年粮食播种面积214.7万亩，较上年增加1.3万亩，同比增长0.6%。夏粮、秋粮面积均有增长。夏粮面积73.6万亩，增加0.7万亩，增长1.0%；秋粮面积141.1万亩，增加0.6万亩，增长0.5%。种植结构有所优化。小麦播种面积72.7万亩，较上年增加0.8万亩，增长1.1%；水稻播种面积123.3万亩，增加0.6万亩，增长0.5%。主粮作物（小麦、水稻）占粮食总面积的比例达到91.3%，占比持续提升。</w:t>
      </w:r>
    </w:p>
    <w:p w14:paraId="5FA93A0C">
      <w:pPr>
        <w:adjustRightInd w:val="0"/>
        <w:snapToGrid w:val="0"/>
        <w:spacing w:line="560" w:lineRule="exact"/>
        <w:ind w:firstLine="632" w:firstLineChars="200"/>
        <w:rPr>
          <w:rFonts w:eastAsia="仿宋_GB2312"/>
          <w:szCs w:val="32"/>
          <w:highlight w:val="none"/>
        </w:rPr>
      </w:pPr>
      <w:r>
        <w:rPr>
          <w:rFonts w:eastAsia="仿宋_GB2312"/>
          <w:szCs w:val="32"/>
          <w:highlight w:val="none"/>
        </w:rPr>
        <w:t>全年粮食总产量100.8万吨，较上年增加0.5万吨，同比增长0.5%。其中，夏粮产量24.2万吨，同比减少0.3万吨，下降1.3%；秋粮产量76.6万吨，增加0.8万吨，增长1.1%。分品种看，小麦产量24.02万吨，下降1.2%；水稻总产量70.73万吨，增长1.1%。油料产量5.73万吨，较上年持平。蔬菜及食用菌产量284.28万吨，下降0.4%。</w:t>
      </w:r>
    </w:p>
    <w:p w14:paraId="10F61863">
      <w:pPr>
        <w:adjustRightInd w:val="0"/>
        <w:snapToGrid w:val="0"/>
        <w:spacing w:line="560" w:lineRule="exact"/>
        <w:ind w:firstLine="632" w:firstLineChars="200"/>
        <w:rPr>
          <w:rFonts w:eastAsia="仿宋_GB2312"/>
          <w:bCs/>
          <w:szCs w:val="32"/>
          <w:highlight w:val="none"/>
        </w:rPr>
      </w:pPr>
      <w:r>
        <w:rPr>
          <w:rFonts w:eastAsia="仿宋_GB2312"/>
          <w:bCs/>
          <w:szCs w:val="32"/>
          <w:highlight w:val="none"/>
        </w:rPr>
        <w:t>全年新建和改造提升高标准农田9.36万亩。年末共有市级以上龙头企业286家，农民专业合作社3955家，家庭农场7214家。全年休闲农业接待人次超5000万人次</w:t>
      </w:r>
      <w:r>
        <w:rPr>
          <w:rFonts w:hint="eastAsia" w:eastAsia="仿宋_GB2312"/>
          <w:bCs/>
          <w:szCs w:val="32"/>
          <w:highlight w:val="none"/>
        </w:rPr>
        <w:t>，</w:t>
      </w:r>
      <w:r>
        <w:rPr>
          <w:rFonts w:eastAsia="仿宋_GB2312"/>
          <w:bCs/>
          <w:szCs w:val="32"/>
          <w:highlight w:val="none"/>
        </w:rPr>
        <w:t>同比增长超10%。</w:t>
      </w:r>
    </w:p>
    <w:p w14:paraId="060CAEA6">
      <w:pPr>
        <w:adjustRightInd w:val="0"/>
        <w:snapToGrid w:val="0"/>
        <w:spacing w:line="560" w:lineRule="exact"/>
        <w:ind w:firstLine="632" w:firstLineChars="200"/>
        <w:rPr>
          <w:rFonts w:eastAsia="黑体"/>
          <w:szCs w:val="32"/>
          <w:highlight w:val="none"/>
        </w:rPr>
      </w:pPr>
      <w:r>
        <w:rPr>
          <w:rFonts w:eastAsia="黑体"/>
          <w:szCs w:val="32"/>
          <w:highlight w:val="none"/>
        </w:rPr>
        <w:t>三、工业和建筑业</w:t>
      </w:r>
    </w:p>
    <w:p w14:paraId="7F5030DF">
      <w:pPr>
        <w:adjustRightInd w:val="0"/>
        <w:snapToGrid w:val="0"/>
        <w:spacing w:line="560" w:lineRule="exact"/>
        <w:ind w:firstLine="632" w:firstLineChars="200"/>
        <w:rPr>
          <w:rFonts w:eastAsia="仿宋_GB2312"/>
          <w:szCs w:val="32"/>
          <w:highlight w:val="none"/>
        </w:rPr>
      </w:pPr>
      <w:r>
        <w:rPr>
          <w:rFonts w:eastAsia="仿宋_GB2312"/>
          <w:szCs w:val="32"/>
          <w:highlight w:val="none"/>
        </w:rPr>
        <w:t>全年规上工业增加值比上年增长5.8%。分经济类型看，国有控股企业增加值增长8.2%，股份制企业增长9.3%，民营企业增长11.1%，外商及港澳台商投资企业下降3.6%。分规模看，大中型企业增长4.0%，小微型企业增长10.1%。</w:t>
      </w:r>
    </w:p>
    <w:p w14:paraId="0D36CDB4">
      <w:pPr>
        <w:adjustRightInd w:val="0"/>
        <w:snapToGrid w:val="0"/>
        <w:spacing w:line="560" w:lineRule="exact"/>
        <w:ind w:firstLine="632" w:firstLineChars="200"/>
        <w:rPr>
          <w:rFonts w:eastAsia="仿宋_GB2312"/>
          <w:szCs w:val="32"/>
          <w:highlight w:val="none"/>
        </w:rPr>
      </w:pPr>
      <w:r>
        <w:rPr>
          <w:rFonts w:eastAsia="仿宋_GB2312"/>
          <w:szCs w:val="32"/>
          <w:highlight w:val="none"/>
        </w:rPr>
        <w:t>分行业看，电气机械和器材制造业增加值增长5.2%，医药制造业增长10.8%，黑色金属冶炼和压延加工业增长11.0%，计算机、通信和其他电子设备制造业增长7.0%，仪器仪表制造业增长12.1%。先进制造业相关产品产量增长较快，其中工业机器人、新能源汽车、集成电路、光电子器件等产量分别增长35.4%、99.0%、28.2%和66.6%。</w:t>
      </w:r>
    </w:p>
    <w:p w14:paraId="73B4437C">
      <w:pPr>
        <w:pStyle w:val="6"/>
        <w:widowControl/>
        <w:shd w:val="clear" w:color="auto" w:fill="FFFFFF"/>
        <w:spacing w:before="0" w:beforeAutospacing="0" w:after="0" w:afterAutospacing="0" w:line="420" w:lineRule="atLeast"/>
        <w:jc w:val="center"/>
        <w:rPr>
          <w:rFonts w:ascii="Times New Roman" w:hAnsi="Times New Roman" w:eastAsia="黑体"/>
          <w:sz w:val="30"/>
          <w:szCs w:val="30"/>
          <w:highlight w:val="none"/>
          <w:shd w:val="clear" w:color="auto" w:fill="FFFFFF"/>
        </w:rPr>
      </w:pPr>
      <w:r>
        <w:rPr>
          <w:rFonts w:ascii="Times New Roman" w:hAnsi="Times New Roman" w:eastAsia="黑体"/>
          <w:sz w:val="30"/>
          <w:szCs w:val="30"/>
          <w:highlight w:val="none"/>
          <w:shd w:val="clear" w:color="auto" w:fill="FFFFFF"/>
        </w:rPr>
        <w:t>表2  2025年主要工业产品产量情况</w:t>
      </w:r>
    </w:p>
    <w:tbl>
      <w:tblPr>
        <w:tblStyle w:val="7"/>
        <w:tblW w:w="816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19"/>
        <w:gridCol w:w="1462"/>
        <w:gridCol w:w="2041"/>
        <w:gridCol w:w="2041"/>
      </w:tblGrid>
      <w:tr w14:paraId="49ACF8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72447FF5">
            <w:pPr>
              <w:widowControl/>
              <w:adjustRightInd w:val="0"/>
              <w:snapToGrid w:val="0"/>
              <w:spacing w:line="300" w:lineRule="exact"/>
              <w:jc w:val="center"/>
              <w:rPr>
                <w:rFonts w:eastAsiaTheme="minorEastAsia"/>
                <w:kern w:val="0"/>
                <w:sz w:val="24"/>
                <w:highlight w:val="none"/>
              </w:rPr>
            </w:pPr>
            <w:r>
              <w:rPr>
                <w:rFonts w:eastAsiaTheme="minorEastAsia"/>
                <w:kern w:val="0"/>
                <w:sz w:val="24"/>
                <w:highlight w:val="none"/>
              </w:rPr>
              <w:t>产品名称</w:t>
            </w:r>
          </w:p>
        </w:tc>
        <w:tc>
          <w:tcPr>
            <w:tcW w:w="1462" w:type="dxa"/>
            <w:shd w:val="clear" w:color="000000" w:fill="FFFFFF"/>
            <w:vAlign w:val="center"/>
          </w:tcPr>
          <w:p w14:paraId="505CF7F9">
            <w:pPr>
              <w:widowControl/>
              <w:adjustRightInd w:val="0"/>
              <w:snapToGrid w:val="0"/>
              <w:spacing w:line="300" w:lineRule="exact"/>
              <w:jc w:val="center"/>
              <w:rPr>
                <w:rFonts w:eastAsiaTheme="minorEastAsia"/>
                <w:kern w:val="0"/>
                <w:sz w:val="24"/>
                <w:highlight w:val="none"/>
              </w:rPr>
            </w:pPr>
            <w:r>
              <w:rPr>
                <w:rFonts w:eastAsiaTheme="minorEastAsia"/>
                <w:kern w:val="0"/>
                <w:sz w:val="24"/>
                <w:highlight w:val="none"/>
              </w:rPr>
              <w:t>计量单位</w:t>
            </w:r>
          </w:p>
        </w:tc>
        <w:tc>
          <w:tcPr>
            <w:tcW w:w="2041" w:type="dxa"/>
            <w:vAlign w:val="center"/>
          </w:tcPr>
          <w:p w14:paraId="76C9AB6B">
            <w:pPr>
              <w:widowControl/>
              <w:adjustRightInd w:val="0"/>
              <w:snapToGrid w:val="0"/>
              <w:spacing w:line="300" w:lineRule="exact"/>
              <w:jc w:val="center"/>
              <w:rPr>
                <w:rFonts w:eastAsiaTheme="minorEastAsia"/>
                <w:kern w:val="0"/>
                <w:sz w:val="24"/>
                <w:highlight w:val="none"/>
              </w:rPr>
            </w:pPr>
            <w:r>
              <w:rPr>
                <w:rFonts w:eastAsiaTheme="minorEastAsia"/>
                <w:kern w:val="0"/>
                <w:sz w:val="24"/>
                <w:highlight w:val="none"/>
              </w:rPr>
              <w:t xml:space="preserve">2025年  </w:t>
            </w:r>
          </w:p>
        </w:tc>
        <w:tc>
          <w:tcPr>
            <w:tcW w:w="2041" w:type="dxa"/>
            <w:vAlign w:val="center"/>
          </w:tcPr>
          <w:p w14:paraId="51752203">
            <w:pPr>
              <w:widowControl/>
              <w:adjustRightInd w:val="0"/>
              <w:snapToGrid w:val="0"/>
              <w:spacing w:line="300" w:lineRule="exact"/>
              <w:jc w:val="center"/>
              <w:rPr>
                <w:rFonts w:eastAsiaTheme="minorEastAsia"/>
                <w:kern w:val="0"/>
                <w:sz w:val="24"/>
                <w:highlight w:val="none"/>
              </w:rPr>
            </w:pPr>
            <w:r>
              <w:rPr>
                <w:rFonts w:eastAsiaTheme="minorEastAsia"/>
                <w:kern w:val="0"/>
                <w:sz w:val="24"/>
                <w:highlight w:val="none"/>
              </w:rPr>
              <w:t>比上年增长（%）</w:t>
            </w:r>
          </w:p>
        </w:tc>
      </w:tr>
      <w:tr w14:paraId="645D95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auto" w:fill="auto"/>
            <w:vAlign w:val="center"/>
          </w:tcPr>
          <w:p w14:paraId="39FA2B90">
            <w:pPr>
              <w:widowControl/>
              <w:adjustRightInd w:val="0"/>
              <w:snapToGrid w:val="0"/>
              <w:spacing w:line="300" w:lineRule="exact"/>
              <w:jc w:val="left"/>
              <w:textAlignment w:val="center"/>
              <w:rPr>
                <w:rFonts w:eastAsiaTheme="minorEastAsia"/>
                <w:sz w:val="24"/>
                <w:highlight w:val="none"/>
              </w:rPr>
            </w:pPr>
            <w:r>
              <w:rPr>
                <w:rFonts w:eastAsiaTheme="minorEastAsia"/>
                <w:kern w:val="0"/>
                <w:sz w:val="24"/>
                <w:highlight w:val="none"/>
                <w:lang w:bidi="ar"/>
              </w:rPr>
              <w:t>卷烟</w:t>
            </w:r>
          </w:p>
        </w:tc>
        <w:tc>
          <w:tcPr>
            <w:tcW w:w="1462" w:type="dxa"/>
            <w:shd w:val="clear" w:color="auto" w:fill="auto"/>
            <w:vAlign w:val="center"/>
          </w:tcPr>
          <w:p w14:paraId="5B49C46B">
            <w:pPr>
              <w:widowControl/>
              <w:adjustRightInd w:val="0"/>
              <w:snapToGrid w:val="0"/>
              <w:spacing w:line="300" w:lineRule="exact"/>
              <w:jc w:val="center"/>
              <w:textAlignment w:val="center"/>
              <w:rPr>
                <w:rFonts w:eastAsiaTheme="minorEastAsia"/>
                <w:sz w:val="24"/>
                <w:highlight w:val="none"/>
              </w:rPr>
            </w:pPr>
            <w:r>
              <w:rPr>
                <w:rFonts w:eastAsiaTheme="minorEastAsia"/>
                <w:kern w:val="0"/>
                <w:sz w:val="24"/>
                <w:highlight w:val="none"/>
                <w:lang w:bidi="ar"/>
              </w:rPr>
              <w:t>万支</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3B3CD666">
            <w:pPr>
              <w:widowControl/>
              <w:adjustRightInd w:val="0"/>
              <w:snapToGrid w:val="0"/>
              <w:spacing w:line="300" w:lineRule="exact"/>
              <w:jc w:val="center"/>
              <w:textAlignment w:val="center"/>
              <w:rPr>
                <w:rFonts w:eastAsiaTheme="minorEastAsia"/>
                <w:kern w:val="0"/>
                <w:sz w:val="24"/>
                <w:highlight w:val="none"/>
              </w:rPr>
            </w:pPr>
            <w:r>
              <w:rPr>
                <w:rFonts w:eastAsiaTheme="minorEastAsia"/>
                <w:kern w:val="0"/>
                <w:sz w:val="24"/>
                <w:highlight w:val="none"/>
              </w:rPr>
              <w:t>3510010</w:t>
            </w:r>
          </w:p>
        </w:tc>
        <w:tc>
          <w:tcPr>
            <w:tcW w:w="2041" w:type="dxa"/>
            <w:tcBorders>
              <w:top w:val="single" w:color="auto" w:sz="4" w:space="0"/>
              <w:left w:val="nil"/>
              <w:bottom w:val="single" w:color="auto" w:sz="4" w:space="0"/>
              <w:right w:val="nil"/>
            </w:tcBorders>
            <w:shd w:val="clear" w:color="000000" w:fill="FFFFFF"/>
            <w:vAlign w:val="center"/>
          </w:tcPr>
          <w:p w14:paraId="3CA79128">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0.9</w:t>
            </w:r>
          </w:p>
        </w:tc>
      </w:tr>
      <w:tr w14:paraId="14CAE7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auto" w:fill="auto"/>
            <w:vAlign w:val="center"/>
          </w:tcPr>
          <w:p w14:paraId="303C115D">
            <w:pPr>
              <w:widowControl/>
              <w:adjustRightInd w:val="0"/>
              <w:snapToGrid w:val="0"/>
              <w:spacing w:line="300" w:lineRule="exact"/>
              <w:jc w:val="left"/>
              <w:textAlignment w:val="center"/>
              <w:rPr>
                <w:rFonts w:eastAsiaTheme="minorEastAsia"/>
                <w:sz w:val="24"/>
                <w:highlight w:val="none"/>
              </w:rPr>
            </w:pPr>
            <w:r>
              <w:rPr>
                <w:rFonts w:eastAsiaTheme="minorEastAsia"/>
                <w:kern w:val="0"/>
                <w:sz w:val="24"/>
                <w:highlight w:val="none"/>
                <w:lang w:bidi="ar"/>
              </w:rPr>
              <w:t>乙烯</w:t>
            </w:r>
          </w:p>
        </w:tc>
        <w:tc>
          <w:tcPr>
            <w:tcW w:w="1462" w:type="dxa"/>
            <w:shd w:val="clear" w:color="auto" w:fill="auto"/>
            <w:vAlign w:val="center"/>
          </w:tcPr>
          <w:p w14:paraId="6228C983">
            <w:pPr>
              <w:widowControl/>
              <w:adjustRightInd w:val="0"/>
              <w:snapToGrid w:val="0"/>
              <w:spacing w:line="300" w:lineRule="exact"/>
              <w:jc w:val="center"/>
              <w:textAlignment w:val="center"/>
              <w:rPr>
                <w:rFonts w:eastAsiaTheme="minorEastAsia"/>
                <w:sz w:val="24"/>
                <w:highlight w:val="none"/>
              </w:rPr>
            </w:pPr>
            <w:r>
              <w:rPr>
                <w:rFonts w:eastAsiaTheme="minorEastAsia"/>
                <w:kern w:val="0"/>
                <w:sz w:val="24"/>
                <w:highlight w:val="none"/>
                <w:lang w:bidi="ar"/>
              </w:rPr>
              <w:t>吨</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1D4F1BDC">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1792618</w:t>
            </w:r>
          </w:p>
        </w:tc>
        <w:tc>
          <w:tcPr>
            <w:tcW w:w="2041" w:type="dxa"/>
            <w:tcBorders>
              <w:top w:val="single" w:color="auto" w:sz="4" w:space="0"/>
              <w:left w:val="nil"/>
              <w:bottom w:val="single" w:color="auto" w:sz="4" w:space="0"/>
              <w:right w:val="nil"/>
            </w:tcBorders>
            <w:shd w:val="clear" w:color="000000" w:fill="FFFFFF"/>
            <w:vAlign w:val="center"/>
          </w:tcPr>
          <w:p w14:paraId="58653C59">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3.1</w:t>
            </w:r>
          </w:p>
        </w:tc>
      </w:tr>
      <w:tr w14:paraId="7D4EC34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auto" w:fill="auto"/>
            <w:vAlign w:val="center"/>
          </w:tcPr>
          <w:p w14:paraId="4AE96505">
            <w:pPr>
              <w:widowControl/>
              <w:adjustRightInd w:val="0"/>
              <w:snapToGrid w:val="0"/>
              <w:spacing w:line="300" w:lineRule="exact"/>
              <w:jc w:val="left"/>
              <w:textAlignment w:val="center"/>
              <w:rPr>
                <w:rFonts w:eastAsiaTheme="minorEastAsia"/>
                <w:sz w:val="24"/>
                <w:highlight w:val="none"/>
              </w:rPr>
            </w:pPr>
            <w:r>
              <w:rPr>
                <w:rFonts w:eastAsiaTheme="minorEastAsia"/>
                <w:kern w:val="0"/>
                <w:sz w:val="24"/>
                <w:highlight w:val="none"/>
                <w:lang w:bidi="ar"/>
              </w:rPr>
              <w:t>化学纤维</w:t>
            </w:r>
          </w:p>
        </w:tc>
        <w:tc>
          <w:tcPr>
            <w:tcW w:w="1462" w:type="dxa"/>
            <w:shd w:val="clear" w:color="auto" w:fill="auto"/>
            <w:vAlign w:val="center"/>
          </w:tcPr>
          <w:p w14:paraId="0965B171">
            <w:pPr>
              <w:widowControl/>
              <w:adjustRightInd w:val="0"/>
              <w:snapToGrid w:val="0"/>
              <w:spacing w:line="300" w:lineRule="exact"/>
              <w:jc w:val="center"/>
              <w:textAlignment w:val="center"/>
              <w:rPr>
                <w:rFonts w:eastAsiaTheme="minorEastAsia"/>
                <w:sz w:val="24"/>
                <w:highlight w:val="none"/>
              </w:rPr>
            </w:pPr>
            <w:r>
              <w:rPr>
                <w:rFonts w:eastAsiaTheme="minorEastAsia"/>
                <w:kern w:val="0"/>
                <w:sz w:val="24"/>
                <w:highlight w:val="none"/>
                <w:lang w:bidi="ar"/>
              </w:rPr>
              <w:t>吨</w:t>
            </w:r>
          </w:p>
        </w:tc>
        <w:tc>
          <w:tcPr>
            <w:tcW w:w="2041" w:type="dxa"/>
            <w:tcBorders>
              <w:top w:val="nil"/>
              <w:left w:val="single" w:color="auto" w:sz="4" w:space="0"/>
              <w:bottom w:val="single" w:color="auto" w:sz="4" w:space="0"/>
              <w:right w:val="single" w:color="auto" w:sz="4" w:space="0"/>
            </w:tcBorders>
            <w:shd w:val="clear" w:color="000000" w:fill="FFFFFF"/>
            <w:vAlign w:val="center"/>
          </w:tcPr>
          <w:p w14:paraId="4533AC1D">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123849</w:t>
            </w:r>
          </w:p>
        </w:tc>
        <w:tc>
          <w:tcPr>
            <w:tcW w:w="2041" w:type="dxa"/>
            <w:tcBorders>
              <w:top w:val="nil"/>
              <w:left w:val="nil"/>
              <w:bottom w:val="single" w:color="auto" w:sz="4" w:space="0"/>
              <w:right w:val="nil"/>
            </w:tcBorders>
            <w:shd w:val="clear" w:color="000000" w:fill="FFFFFF"/>
            <w:vAlign w:val="center"/>
          </w:tcPr>
          <w:p w14:paraId="01DB942D">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3.3</w:t>
            </w:r>
          </w:p>
        </w:tc>
      </w:tr>
      <w:tr w14:paraId="7E616E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6943A739">
            <w:pPr>
              <w:widowControl/>
              <w:adjustRightInd w:val="0"/>
              <w:snapToGrid w:val="0"/>
              <w:spacing w:line="300" w:lineRule="exact"/>
              <w:jc w:val="left"/>
              <w:textAlignment w:val="center"/>
              <w:rPr>
                <w:rFonts w:eastAsiaTheme="minorEastAsia"/>
                <w:sz w:val="24"/>
                <w:highlight w:val="none"/>
              </w:rPr>
            </w:pPr>
            <w:r>
              <w:rPr>
                <w:rFonts w:eastAsiaTheme="minorEastAsia"/>
                <w:kern w:val="0"/>
                <w:sz w:val="24"/>
                <w:highlight w:val="none"/>
                <w:lang w:bidi="ar"/>
              </w:rPr>
              <w:t>生铁</w:t>
            </w:r>
          </w:p>
        </w:tc>
        <w:tc>
          <w:tcPr>
            <w:tcW w:w="1462" w:type="dxa"/>
            <w:shd w:val="clear" w:color="auto" w:fill="auto"/>
            <w:vAlign w:val="center"/>
          </w:tcPr>
          <w:p w14:paraId="07B7D1B2">
            <w:pPr>
              <w:widowControl/>
              <w:adjustRightInd w:val="0"/>
              <w:snapToGrid w:val="0"/>
              <w:spacing w:line="300" w:lineRule="exact"/>
              <w:jc w:val="center"/>
              <w:textAlignment w:val="center"/>
              <w:rPr>
                <w:rFonts w:eastAsiaTheme="minorEastAsia"/>
                <w:sz w:val="24"/>
                <w:highlight w:val="none"/>
              </w:rPr>
            </w:pPr>
            <w:r>
              <w:rPr>
                <w:rFonts w:eastAsiaTheme="minorEastAsia"/>
                <w:kern w:val="0"/>
                <w:sz w:val="24"/>
                <w:highlight w:val="none"/>
                <w:lang w:bidi="ar"/>
              </w:rPr>
              <w:t>吨</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66F12378">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17761994</w:t>
            </w:r>
          </w:p>
        </w:tc>
        <w:tc>
          <w:tcPr>
            <w:tcW w:w="2041" w:type="dxa"/>
            <w:tcBorders>
              <w:top w:val="single" w:color="auto" w:sz="4" w:space="0"/>
              <w:left w:val="nil"/>
              <w:bottom w:val="single" w:color="auto" w:sz="4" w:space="0"/>
              <w:right w:val="nil"/>
            </w:tcBorders>
            <w:shd w:val="clear" w:color="000000" w:fill="FFFFFF"/>
            <w:vAlign w:val="center"/>
          </w:tcPr>
          <w:p w14:paraId="472DC870">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0.2</w:t>
            </w:r>
          </w:p>
        </w:tc>
      </w:tr>
      <w:tr w14:paraId="6888DB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70BD69DB">
            <w:pPr>
              <w:widowControl/>
              <w:adjustRightInd w:val="0"/>
              <w:snapToGrid w:val="0"/>
              <w:spacing w:line="300" w:lineRule="exact"/>
              <w:jc w:val="left"/>
              <w:textAlignment w:val="center"/>
              <w:rPr>
                <w:rFonts w:eastAsiaTheme="minorEastAsia"/>
                <w:sz w:val="24"/>
                <w:highlight w:val="none"/>
              </w:rPr>
            </w:pPr>
            <w:r>
              <w:rPr>
                <w:rFonts w:eastAsiaTheme="minorEastAsia"/>
                <w:kern w:val="0"/>
                <w:sz w:val="24"/>
                <w:highlight w:val="none"/>
                <w:lang w:bidi="ar"/>
              </w:rPr>
              <w:t>钢材</w:t>
            </w:r>
          </w:p>
        </w:tc>
        <w:tc>
          <w:tcPr>
            <w:tcW w:w="1462" w:type="dxa"/>
            <w:shd w:val="clear" w:color="000000" w:fill="FFFFFF"/>
            <w:vAlign w:val="center"/>
          </w:tcPr>
          <w:p w14:paraId="34087D63">
            <w:pPr>
              <w:widowControl/>
              <w:adjustRightInd w:val="0"/>
              <w:snapToGrid w:val="0"/>
              <w:spacing w:line="300" w:lineRule="exact"/>
              <w:jc w:val="center"/>
              <w:textAlignment w:val="center"/>
              <w:rPr>
                <w:rFonts w:eastAsiaTheme="minorEastAsia"/>
                <w:sz w:val="24"/>
                <w:highlight w:val="none"/>
              </w:rPr>
            </w:pPr>
            <w:r>
              <w:rPr>
                <w:rFonts w:eastAsiaTheme="minorEastAsia"/>
                <w:kern w:val="0"/>
                <w:sz w:val="24"/>
                <w:highlight w:val="none"/>
                <w:lang w:bidi="ar"/>
              </w:rPr>
              <w:t>吨</w:t>
            </w:r>
          </w:p>
        </w:tc>
        <w:tc>
          <w:tcPr>
            <w:tcW w:w="2041" w:type="dxa"/>
            <w:tcBorders>
              <w:top w:val="nil"/>
              <w:left w:val="single" w:color="auto" w:sz="4" w:space="0"/>
              <w:bottom w:val="single" w:color="auto" w:sz="4" w:space="0"/>
              <w:right w:val="single" w:color="auto" w:sz="4" w:space="0"/>
            </w:tcBorders>
            <w:shd w:val="clear" w:color="000000" w:fill="FFFFFF"/>
            <w:vAlign w:val="center"/>
          </w:tcPr>
          <w:p w14:paraId="3A289AF0">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17913972</w:t>
            </w:r>
          </w:p>
        </w:tc>
        <w:tc>
          <w:tcPr>
            <w:tcW w:w="2041" w:type="dxa"/>
            <w:tcBorders>
              <w:top w:val="nil"/>
              <w:left w:val="single" w:color="auto" w:sz="4" w:space="0"/>
              <w:bottom w:val="single" w:color="auto" w:sz="4" w:space="0"/>
              <w:right w:val="nil"/>
            </w:tcBorders>
            <w:shd w:val="clear" w:color="000000" w:fill="FFFFFF"/>
            <w:vAlign w:val="center"/>
          </w:tcPr>
          <w:p w14:paraId="54BEAB82">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-2.0</w:t>
            </w:r>
          </w:p>
        </w:tc>
      </w:tr>
      <w:tr w14:paraId="26B963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tcBorders>
              <w:top w:val="single" w:color="auto" w:sz="4" w:space="0"/>
              <w:bottom w:val="single" w:color="auto" w:sz="4" w:space="0"/>
              <w:right w:val="single" w:color="auto" w:sz="4" w:space="0"/>
            </w:tcBorders>
            <w:shd w:val="clear" w:color="000000" w:fill="FFFFFF"/>
            <w:vAlign w:val="center"/>
          </w:tcPr>
          <w:p w14:paraId="1EE18511">
            <w:pPr>
              <w:widowControl/>
              <w:adjustRightInd w:val="0"/>
              <w:snapToGrid w:val="0"/>
              <w:spacing w:line="300" w:lineRule="exact"/>
              <w:jc w:val="left"/>
              <w:textAlignment w:val="center"/>
              <w:rPr>
                <w:rFonts w:eastAsiaTheme="minorEastAsia"/>
                <w:sz w:val="24"/>
                <w:highlight w:val="none"/>
              </w:rPr>
            </w:pPr>
            <w:r>
              <w:rPr>
                <w:rFonts w:eastAsiaTheme="minorEastAsia"/>
                <w:kern w:val="0"/>
                <w:sz w:val="24"/>
                <w:highlight w:val="none"/>
                <w:lang w:bidi="ar"/>
              </w:rPr>
              <w:t>汽车</w:t>
            </w:r>
          </w:p>
        </w:tc>
        <w:tc>
          <w:tcPr>
            <w:tcW w:w="1462" w:type="dxa"/>
            <w:tcBorders>
              <w:top w:val="single" w:color="auto" w:sz="4" w:space="0"/>
              <w:left w:val="single" w:color="auto" w:sz="4" w:space="0"/>
              <w:bottom w:val="single" w:color="auto" w:sz="4" w:space="0"/>
              <w:right w:val="single" w:color="auto" w:sz="4" w:space="0"/>
            </w:tcBorders>
            <w:shd w:val="clear" w:color="000000" w:fill="FFFFFF"/>
            <w:vAlign w:val="center"/>
          </w:tcPr>
          <w:p w14:paraId="61753A45">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辆</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5B70B8DE">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506927</w:t>
            </w:r>
          </w:p>
        </w:tc>
        <w:tc>
          <w:tcPr>
            <w:tcW w:w="2041" w:type="dxa"/>
            <w:tcBorders>
              <w:top w:val="single" w:color="auto" w:sz="4" w:space="0"/>
              <w:left w:val="single" w:color="auto" w:sz="4" w:space="0"/>
              <w:bottom w:val="single" w:color="auto" w:sz="4" w:space="0"/>
              <w:right w:val="nil"/>
            </w:tcBorders>
            <w:shd w:val="clear" w:color="000000" w:fill="FFFFFF"/>
            <w:vAlign w:val="center"/>
          </w:tcPr>
          <w:p w14:paraId="676A4B28">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0.9</w:t>
            </w:r>
          </w:p>
        </w:tc>
      </w:tr>
      <w:tr w14:paraId="2C3665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tcBorders>
              <w:top w:val="single" w:color="auto" w:sz="4" w:space="0"/>
              <w:bottom w:val="single" w:color="auto" w:sz="4" w:space="0"/>
              <w:right w:val="single" w:color="auto" w:sz="4" w:space="0"/>
            </w:tcBorders>
            <w:shd w:val="clear" w:color="000000" w:fill="FFFFFF"/>
            <w:vAlign w:val="center"/>
          </w:tcPr>
          <w:p w14:paraId="112D2B74">
            <w:pPr>
              <w:widowControl/>
              <w:adjustRightInd w:val="0"/>
              <w:snapToGrid w:val="0"/>
              <w:spacing w:line="300" w:lineRule="exact"/>
              <w:jc w:val="left"/>
              <w:textAlignment w:val="center"/>
              <w:rPr>
                <w:rFonts w:eastAsiaTheme="minorEastAsia"/>
                <w:kern w:val="0"/>
                <w:sz w:val="24"/>
                <w:highlight w:val="none"/>
                <w:lang w:bidi="ar"/>
              </w:rPr>
            </w:pPr>
            <w:r>
              <w:rPr>
                <w:rFonts w:eastAsiaTheme="minorEastAsia"/>
                <w:kern w:val="0"/>
                <w:sz w:val="24"/>
                <w:highlight w:val="none"/>
                <w:lang w:bidi="ar"/>
              </w:rPr>
              <w:t>其中：新能源汽车</w:t>
            </w:r>
          </w:p>
        </w:tc>
        <w:tc>
          <w:tcPr>
            <w:tcW w:w="1462" w:type="dxa"/>
            <w:tcBorders>
              <w:top w:val="single" w:color="auto" w:sz="4" w:space="0"/>
              <w:left w:val="single" w:color="auto" w:sz="4" w:space="0"/>
              <w:bottom w:val="single" w:color="auto" w:sz="4" w:space="0"/>
              <w:right w:val="single" w:color="auto" w:sz="4" w:space="0"/>
            </w:tcBorders>
            <w:shd w:val="clear" w:color="000000" w:fill="FFFFFF"/>
            <w:vAlign w:val="center"/>
          </w:tcPr>
          <w:p w14:paraId="2A854460">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辆</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14BAD334">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294898</w:t>
            </w:r>
          </w:p>
        </w:tc>
        <w:tc>
          <w:tcPr>
            <w:tcW w:w="2041" w:type="dxa"/>
            <w:tcBorders>
              <w:top w:val="single" w:color="auto" w:sz="4" w:space="0"/>
              <w:left w:val="single" w:color="auto" w:sz="4" w:space="0"/>
              <w:bottom w:val="single" w:color="auto" w:sz="4" w:space="0"/>
              <w:right w:val="nil"/>
            </w:tcBorders>
            <w:shd w:val="clear" w:color="000000" w:fill="FFFFFF"/>
            <w:vAlign w:val="center"/>
          </w:tcPr>
          <w:p w14:paraId="422A0085">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99.0</w:t>
            </w:r>
          </w:p>
        </w:tc>
      </w:tr>
      <w:tr w14:paraId="38E441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tcBorders>
              <w:top w:val="single" w:color="auto" w:sz="4" w:space="0"/>
              <w:bottom w:val="single" w:color="auto" w:sz="4" w:space="0"/>
              <w:right w:val="single" w:color="auto" w:sz="4" w:space="0"/>
            </w:tcBorders>
            <w:shd w:val="clear" w:color="000000" w:fill="FFFFFF"/>
            <w:vAlign w:val="center"/>
          </w:tcPr>
          <w:p w14:paraId="3EC5F121">
            <w:pPr>
              <w:widowControl/>
              <w:adjustRightInd w:val="0"/>
              <w:snapToGrid w:val="0"/>
              <w:spacing w:line="300" w:lineRule="exact"/>
              <w:jc w:val="left"/>
              <w:textAlignment w:val="center"/>
              <w:rPr>
                <w:rFonts w:eastAsiaTheme="minorEastAsia"/>
                <w:sz w:val="24"/>
                <w:highlight w:val="none"/>
              </w:rPr>
            </w:pPr>
            <w:r>
              <w:rPr>
                <w:rFonts w:eastAsiaTheme="minorEastAsia"/>
                <w:kern w:val="0"/>
                <w:sz w:val="24"/>
                <w:highlight w:val="none"/>
                <w:lang w:bidi="ar"/>
              </w:rPr>
              <w:t>工业机器人</w:t>
            </w:r>
          </w:p>
        </w:tc>
        <w:tc>
          <w:tcPr>
            <w:tcW w:w="1462" w:type="dxa"/>
            <w:tcBorders>
              <w:top w:val="single" w:color="auto" w:sz="4" w:space="0"/>
              <w:left w:val="single" w:color="auto" w:sz="4" w:space="0"/>
              <w:bottom w:val="single" w:color="auto" w:sz="4" w:space="0"/>
              <w:right w:val="single" w:color="auto" w:sz="4" w:space="0"/>
            </w:tcBorders>
            <w:shd w:val="clear" w:color="000000" w:fill="FFFFFF"/>
            <w:vAlign w:val="center"/>
          </w:tcPr>
          <w:p w14:paraId="48417D10">
            <w:pPr>
              <w:widowControl/>
              <w:adjustRightInd w:val="0"/>
              <w:snapToGrid w:val="0"/>
              <w:spacing w:line="300" w:lineRule="exact"/>
              <w:jc w:val="center"/>
              <w:textAlignment w:val="center"/>
              <w:rPr>
                <w:rFonts w:eastAsiaTheme="minorEastAsia"/>
                <w:sz w:val="24"/>
                <w:highlight w:val="none"/>
              </w:rPr>
            </w:pPr>
            <w:r>
              <w:rPr>
                <w:rFonts w:eastAsiaTheme="minorEastAsia"/>
                <w:kern w:val="0"/>
                <w:sz w:val="24"/>
                <w:highlight w:val="none"/>
                <w:lang w:bidi="ar"/>
              </w:rPr>
              <w:t>套</w:t>
            </w:r>
          </w:p>
        </w:tc>
        <w:tc>
          <w:tcPr>
            <w:tcW w:w="2041" w:type="dxa"/>
            <w:tcBorders>
              <w:top w:val="nil"/>
              <w:left w:val="single" w:color="auto" w:sz="4" w:space="0"/>
              <w:bottom w:val="single" w:color="auto" w:sz="4" w:space="0"/>
              <w:right w:val="single" w:color="auto" w:sz="4" w:space="0"/>
            </w:tcBorders>
            <w:shd w:val="clear" w:color="000000" w:fill="FFFFFF"/>
            <w:vAlign w:val="center"/>
          </w:tcPr>
          <w:p w14:paraId="18F65048">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54134</w:t>
            </w:r>
          </w:p>
        </w:tc>
        <w:tc>
          <w:tcPr>
            <w:tcW w:w="2041" w:type="dxa"/>
            <w:tcBorders>
              <w:top w:val="nil"/>
              <w:left w:val="single" w:color="auto" w:sz="4" w:space="0"/>
              <w:bottom w:val="single" w:color="auto" w:sz="4" w:space="0"/>
              <w:right w:val="nil"/>
            </w:tcBorders>
            <w:shd w:val="clear" w:color="000000" w:fill="FFFFFF"/>
            <w:vAlign w:val="center"/>
          </w:tcPr>
          <w:p w14:paraId="52EE922E">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35.4</w:t>
            </w:r>
          </w:p>
        </w:tc>
      </w:tr>
      <w:tr w14:paraId="45660E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46CBD8B9">
            <w:pPr>
              <w:widowControl/>
              <w:adjustRightInd w:val="0"/>
              <w:snapToGrid w:val="0"/>
              <w:spacing w:line="300" w:lineRule="exact"/>
              <w:jc w:val="left"/>
              <w:textAlignment w:val="center"/>
              <w:rPr>
                <w:rFonts w:eastAsiaTheme="minorEastAsia"/>
                <w:sz w:val="24"/>
                <w:highlight w:val="none"/>
              </w:rPr>
            </w:pPr>
            <w:r>
              <w:rPr>
                <w:rFonts w:eastAsiaTheme="minorEastAsia"/>
                <w:sz w:val="24"/>
                <w:highlight w:val="none"/>
              </w:rPr>
              <w:t>光纤</w:t>
            </w:r>
          </w:p>
        </w:tc>
        <w:tc>
          <w:tcPr>
            <w:tcW w:w="1462" w:type="dxa"/>
            <w:shd w:val="clear" w:color="000000" w:fill="FFFFFF"/>
            <w:vAlign w:val="center"/>
          </w:tcPr>
          <w:p w14:paraId="56F012EF">
            <w:pPr>
              <w:widowControl/>
              <w:adjustRightInd w:val="0"/>
              <w:snapToGrid w:val="0"/>
              <w:spacing w:line="300" w:lineRule="exact"/>
              <w:jc w:val="center"/>
              <w:textAlignment w:val="center"/>
              <w:rPr>
                <w:rFonts w:eastAsiaTheme="minorEastAsia"/>
                <w:sz w:val="24"/>
                <w:highlight w:val="none"/>
              </w:rPr>
            </w:pPr>
            <w:r>
              <w:rPr>
                <w:rFonts w:eastAsiaTheme="minorEastAsia"/>
                <w:kern w:val="0"/>
                <w:sz w:val="24"/>
                <w:highlight w:val="none"/>
                <w:lang w:bidi="ar"/>
              </w:rPr>
              <w:t>千米</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38FD9D83">
            <w:pPr>
              <w:widowControl/>
              <w:adjustRightInd w:val="0"/>
              <w:snapToGrid w:val="0"/>
              <w:spacing w:line="300" w:lineRule="exact"/>
              <w:jc w:val="center"/>
              <w:textAlignment w:val="center"/>
              <w:rPr>
                <w:rFonts w:eastAsiaTheme="minorEastAsia"/>
                <w:kern w:val="0"/>
                <w:sz w:val="24"/>
                <w:highlight w:val="none"/>
              </w:rPr>
            </w:pPr>
            <w:r>
              <w:rPr>
                <w:rFonts w:eastAsiaTheme="minorEastAsia"/>
                <w:kern w:val="0"/>
                <w:sz w:val="24"/>
                <w:highlight w:val="none"/>
              </w:rPr>
              <w:t>22501374</w:t>
            </w:r>
          </w:p>
        </w:tc>
        <w:tc>
          <w:tcPr>
            <w:tcW w:w="2041" w:type="dxa"/>
            <w:tcBorders>
              <w:top w:val="single" w:color="auto" w:sz="4" w:space="0"/>
              <w:left w:val="nil"/>
              <w:bottom w:val="single" w:color="auto" w:sz="4" w:space="0"/>
              <w:right w:val="nil"/>
            </w:tcBorders>
            <w:shd w:val="clear" w:color="000000" w:fill="FFFFFF"/>
            <w:vAlign w:val="center"/>
          </w:tcPr>
          <w:p w14:paraId="73347D2C">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5.7</w:t>
            </w:r>
          </w:p>
        </w:tc>
      </w:tr>
      <w:tr w14:paraId="44F7B4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796114E7">
            <w:pPr>
              <w:widowControl/>
              <w:adjustRightInd w:val="0"/>
              <w:snapToGrid w:val="0"/>
              <w:spacing w:line="300" w:lineRule="exact"/>
              <w:jc w:val="left"/>
              <w:textAlignment w:val="center"/>
              <w:rPr>
                <w:rFonts w:eastAsiaTheme="minorEastAsia"/>
                <w:kern w:val="0"/>
                <w:sz w:val="24"/>
                <w:highlight w:val="none"/>
                <w:lang w:bidi="ar"/>
              </w:rPr>
            </w:pPr>
            <w:r>
              <w:rPr>
                <w:rFonts w:eastAsiaTheme="minorEastAsia"/>
                <w:kern w:val="0"/>
                <w:sz w:val="24"/>
                <w:highlight w:val="none"/>
                <w:lang w:bidi="ar"/>
              </w:rPr>
              <w:t>光缆</w:t>
            </w:r>
          </w:p>
        </w:tc>
        <w:tc>
          <w:tcPr>
            <w:tcW w:w="1462" w:type="dxa"/>
            <w:shd w:val="clear" w:color="000000" w:fill="FFFFFF"/>
            <w:vAlign w:val="center"/>
          </w:tcPr>
          <w:p w14:paraId="53C41D98">
            <w:pPr>
              <w:widowControl/>
              <w:adjustRightInd w:val="0"/>
              <w:snapToGrid w:val="0"/>
              <w:spacing w:line="300" w:lineRule="exact"/>
              <w:jc w:val="center"/>
              <w:textAlignment w:val="center"/>
              <w:rPr>
                <w:rFonts w:eastAsiaTheme="minorEastAsia"/>
                <w:kern w:val="0"/>
                <w:sz w:val="24"/>
                <w:highlight w:val="none"/>
                <w:lang w:bidi="ar"/>
              </w:rPr>
            </w:pPr>
            <w:r>
              <w:rPr>
                <w:rFonts w:eastAsiaTheme="minorEastAsia"/>
                <w:kern w:val="0"/>
                <w:sz w:val="24"/>
                <w:highlight w:val="none"/>
                <w:lang w:bidi="ar"/>
              </w:rPr>
              <w:t>芯千米</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707F1AE4">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9166553</w:t>
            </w:r>
          </w:p>
        </w:tc>
        <w:tc>
          <w:tcPr>
            <w:tcW w:w="2041" w:type="dxa"/>
            <w:tcBorders>
              <w:top w:val="single" w:color="auto" w:sz="4" w:space="0"/>
              <w:left w:val="nil"/>
              <w:bottom w:val="single" w:color="auto" w:sz="4" w:space="0"/>
              <w:right w:val="nil"/>
            </w:tcBorders>
            <w:shd w:val="clear" w:color="000000" w:fill="FFFFFF"/>
            <w:vAlign w:val="center"/>
          </w:tcPr>
          <w:p w14:paraId="01C81DA3">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7.8</w:t>
            </w:r>
          </w:p>
        </w:tc>
      </w:tr>
      <w:tr w14:paraId="5DDF89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024B8D4A">
            <w:pPr>
              <w:widowControl/>
              <w:adjustRightInd w:val="0"/>
              <w:snapToGrid w:val="0"/>
              <w:spacing w:line="300" w:lineRule="exact"/>
              <w:jc w:val="left"/>
              <w:textAlignment w:val="center"/>
              <w:rPr>
                <w:rFonts w:eastAsiaTheme="minorEastAsia"/>
                <w:kern w:val="0"/>
                <w:sz w:val="24"/>
                <w:highlight w:val="none"/>
                <w:lang w:bidi="ar"/>
              </w:rPr>
            </w:pPr>
            <w:r>
              <w:rPr>
                <w:rFonts w:eastAsiaTheme="minorEastAsia"/>
                <w:kern w:val="0"/>
                <w:sz w:val="24"/>
                <w:highlight w:val="none"/>
                <w:lang w:bidi="ar"/>
              </w:rPr>
              <w:t>锂离子电池</w:t>
            </w:r>
          </w:p>
        </w:tc>
        <w:tc>
          <w:tcPr>
            <w:tcW w:w="1462" w:type="dxa"/>
            <w:shd w:val="clear" w:color="000000" w:fill="FFFFFF"/>
            <w:vAlign w:val="center"/>
          </w:tcPr>
          <w:p w14:paraId="184D587B">
            <w:pPr>
              <w:widowControl/>
              <w:adjustRightInd w:val="0"/>
              <w:snapToGrid w:val="0"/>
              <w:spacing w:line="300" w:lineRule="exact"/>
              <w:jc w:val="center"/>
              <w:textAlignment w:val="center"/>
              <w:rPr>
                <w:rFonts w:eastAsiaTheme="minorEastAsia"/>
                <w:kern w:val="0"/>
                <w:sz w:val="24"/>
                <w:highlight w:val="none"/>
                <w:lang w:bidi="ar"/>
              </w:rPr>
            </w:pPr>
            <w:r>
              <w:rPr>
                <w:rFonts w:eastAsiaTheme="minorEastAsia"/>
                <w:kern w:val="0"/>
                <w:sz w:val="24"/>
                <w:highlight w:val="none"/>
                <w:lang w:bidi="ar"/>
              </w:rPr>
              <w:t>千瓦时</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1E5C483D">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90525945</w:t>
            </w:r>
          </w:p>
        </w:tc>
        <w:tc>
          <w:tcPr>
            <w:tcW w:w="2041" w:type="dxa"/>
            <w:tcBorders>
              <w:top w:val="single" w:color="auto" w:sz="4" w:space="0"/>
              <w:left w:val="nil"/>
              <w:bottom w:val="single" w:color="auto" w:sz="4" w:space="0"/>
              <w:right w:val="nil"/>
            </w:tcBorders>
            <w:shd w:val="clear" w:color="000000" w:fill="FFFFFF"/>
            <w:vAlign w:val="center"/>
          </w:tcPr>
          <w:p w14:paraId="24D780F8">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6.4</w:t>
            </w:r>
          </w:p>
        </w:tc>
      </w:tr>
      <w:tr w14:paraId="457B31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430FF920">
            <w:pPr>
              <w:widowControl/>
              <w:adjustRightInd w:val="0"/>
              <w:snapToGrid w:val="0"/>
              <w:spacing w:line="300" w:lineRule="exact"/>
              <w:jc w:val="left"/>
              <w:textAlignment w:val="center"/>
              <w:rPr>
                <w:rFonts w:eastAsiaTheme="minorEastAsia"/>
                <w:kern w:val="0"/>
                <w:sz w:val="24"/>
                <w:highlight w:val="none"/>
                <w:lang w:bidi="ar"/>
              </w:rPr>
            </w:pPr>
            <w:r>
              <w:rPr>
                <w:rFonts w:eastAsiaTheme="minorEastAsia"/>
                <w:kern w:val="0"/>
                <w:sz w:val="24"/>
                <w:highlight w:val="none"/>
                <w:lang w:bidi="ar"/>
              </w:rPr>
              <w:t>移动通信手持机（手机）</w:t>
            </w:r>
          </w:p>
        </w:tc>
        <w:tc>
          <w:tcPr>
            <w:tcW w:w="1462" w:type="dxa"/>
            <w:shd w:val="clear" w:color="000000" w:fill="FFFFFF"/>
            <w:vAlign w:val="center"/>
          </w:tcPr>
          <w:p w14:paraId="30C3DC33">
            <w:pPr>
              <w:widowControl/>
              <w:adjustRightInd w:val="0"/>
              <w:snapToGrid w:val="0"/>
              <w:spacing w:line="300" w:lineRule="exact"/>
              <w:jc w:val="center"/>
              <w:textAlignment w:val="center"/>
              <w:rPr>
                <w:rFonts w:eastAsiaTheme="minorEastAsia"/>
                <w:kern w:val="0"/>
                <w:sz w:val="24"/>
                <w:highlight w:val="none"/>
                <w:lang w:bidi="ar"/>
              </w:rPr>
            </w:pPr>
            <w:r>
              <w:rPr>
                <w:rFonts w:eastAsiaTheme="minorEastAsia"/>
                <w:kern w:val="0"/>
                <w:sz w:val="24"/>
                <w:highlight w:val="none"/>
                <w:lang w:bidi="ar"/>
              </w:rPr>
              <w:t>台</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372E9D7C">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354541</w:t>
            </w:r>
          </w:p>
        </w:tc>
        <w:tc>
          <w:tcPr>
            <w:tcW w:w="2041" w:type="dxa"/>
            <w:tcBorders>
              <w:top w:val="single" w:color="auto" w:sz="4" w:space="0"/>
              <w:left w:val="nil"/>
              <w:bottom w:val="single" w:color="auto" w:sz="4" w:space="0"/>
              <w:right w:val="nil"/>
            </w:tcBorders>
            <w:shd w:val="clear" w:color="000000" w:fill="FFFFFF"/>
            <w:vAlign w:val="center"/>
          </w:tcPr>
          <w:p w14:paraId="7F9992A9">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16.9</w:t>
            </w:r>
          </w:p>
        </w:tc>
      </w:tr>
      <w:tr w14:paraId="49AD34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5CF3F3F1">
            <w:pPr>
              <w:widowControl/>
              <w:adjustRightInd w:val="0"/>
              <w:snapToGrid w:val="0"/>
              <w:spacing w:line="300" w:lineRule="exact"/>
              <w:jc w:val="left"/>
              <w:textAlignment w:val="center"/>
              <w:rPr>
                <w:rFonts w:eastAsiaTheme="minorEastAsia"/>
                <w:kern w:val="0"/>
                <w:sz w:val="24"/>
                <w:highlight w:val="none"/>
                <w:lang w:bidi="ar"/>
              </w:rPr>
            </w:pPr>
            <w:r>
              <w:rPr>
                <w:rFonts w:eastAsiaTheme="minorEastAsia"/>
                <w:kern w:val="0"/>
                <w:sz w:val="24"/>
                <w:highlight w:val="none"/>
                <w:lang w:bidi="ar"/>
              </w:rPr>
              <w:t>液晶电视机</w:t>
            </w:r>
          </w:p>
        </w:tc>
        <w:tc>
          <w:tcPr>
            <w:tcW w:w="1462" w:type="dxa"/>
            <w:shd w:val="clear" w:color="000000" w:fill="FFFFFF"/>
            <w:vAlign w:val="center"/>
          </w:tcPr>
          <w:p w14:paraId="4D50428E">
            <w:pPr>
              <w:widowControl/>
              <w:adjustRightInd w:val="0"/>
              <w:snapToGrid w:val="0"/>
              <w:spacing w:line="300" w:lineRule="exact"/>
              <w:jc w:val="center"/>
              <w:textAlignment w:val="center"/>
              <w:rPr>
                <w:rFonts w:eastAsiaTheme="minorEastAsia"/>
                <w:kern w:val="0"/>
                <w:sz w:val="24"/>
                <w:highlight w:val="none"/>
                <w:lang w:bidi="ar"/>
              </w:rPr>
            </w:pPr>
            <w:r>
              <w:rPr>
                <w:rFonts w:eastAsiaTheme="minorEastAsia"/>
                <w:kern w:val="0"/>
                <w:sz w:val="24"/>
                <w:highlight w:val="none"/>
                <w:lang w:bidi="ar"/>
              </w:rPr>
              <w:t>台</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335E49F0">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3074010</w:t>
            </w:r>
          </w:p>
        </w:tc>
        <w:tc>
          <w:tcPr>
            <w:tcW w:w="2041" w:type="dxa"/>
            <w:tcBorders>
              <w:top w:val="single" w:color="auto" w:sz="4" w:space="0"/>
              <w:left w:val="nil"/>
              <w:bottom w:val="single" w:color="auto" w:sz="4" w:space="0"/>
              <w:right w:val="nil"/>
            </w:tcBorders>
            <w:shd w:val="clear" w:color="000000" w:fill="FFFFFF"/>
            <w:vAlign w:val="center"/>
          </w:tcPr>
          <w:p w14:paraId="42F51C92">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11.3</w:t>
            </w:r>
          </w:p>
        </w:tc>
      </w:tr>
      <w:tr w14:paraId="44BF7D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42A9D8C4">
            <w:pPr>
              <w:widowControl/>
              <w:adjustRightInd w:val="0"/>
              <w:snapToGrid w:val="0"/>
              <w:spacing w:line="300" w:lineRule="exact"/>
              <w:jc w:val="left"/>
              <w:textAlignment w:val="center"/>
              <w:rPr>
                <w:rFonts w:eastAsiaTheme="minorEastAsia"/>
                <w:kern w:val="0"/>
                <w:sz w:val="24"/>
                <w:highlight w:val="none"/>
                <w:lang w:bidi="ar"/>
              </w:rPr>
            </w:pPr>
            <w:r>
              <w:rPr>
                <w:rFonts w:eastAsiaTheme="minorEastAsia"/>
                <w:kern w:val="0"/>
                <w:sz w:val="24"/>
                <w:highlight w:val="none"/>
                <w:lang w:bidi="ar"/>
              </w:rPr>
              <w:t>集成电路</w:t>
            </w:r>
          </w:p>
        </w:tc>
        <w:tc>
          <w:tcPr>
            <w:tcW w:w="1462" w:type="dxa"/>
            <w:shd w:val="clear" w:color="000000" w:fill="FFFFFF"/>
            <w:vAlign w:val="center"/>
          </w:tcPr>
          <w:p w14:paraId="67C32079">
            <w:pPr>
              <w:widowControl/>
              <w:adjustRightInd w:val="0"/>
              <w:snapToGrid w:val="0"/>
              <w:spacing w:line="300" w:lineRule="exact"/>
              <w:jc w:val="center"/>
              <w:textAlignment w:val="center"/>
              <w:rPr>
                <w:rFonts w:eastAsiaTheme="minorEastAsia"/>
                <w:kern w:val="0"/>
                <w:sz w:val="24"/>
                <w:highlight w:val="none"/>
                <w:lang w:bidi="ar"/>
              </w:rPr>
            </w:pPr>
            <w:r>
              <w:rPr>
                <w:rFonts w:eastAsiaTheme="minorEastAsia"/>
                <w:kern w:val="0"/>
                <w:sz w:val="24"/>
                <w:highlight w:val="none"/>
                <w:lang w:bidi="ar"/>
              </w:rPr>
              <w:t>万块</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1EF71A44">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2708563</w:t>
            </w:r>
          </w:p>
        </w:tc>
        <w:tc>
          <w:tcPr>
            <w:tcW w:w="2041" w:type="dxa"/>
            <w:tcBorders>
              <w:top w:val="single" w:color="auto" w:sz="4" w:space="0"/>
              <w:left w:val="nil"/>
              <w:bottom w:val="single" w:color="auto" w:sz="4" w:space="0"/>
              <w:right w:val="nil"/>
            </w:tcBorders>
            <w:shd w:val="clear" w:color="000000" w:fill="FFFFFF"/>
            <w:vAlign w:val="center"/>
          </w:tcPr>
          <w:p w14:paraId="389BCE94">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28.2</w:t>
            </w:r>
          </w:p>
        </w:tc>
      </w:tr>
      <w:tr w14:paraId="2C0FA1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5A1C9510">
            <w:pPr>
              <w:widowControl/>
              <w:adjustRightInd w:val="0"/>
              <w:snapToGrid w:val="0"/>
              <w:spacing w:line="300" w:lineRule="exact"/>
              <w:jc w:val="left"/>
              <w:textAlignment w:val="center"/>
              <w:rPr>
                <w:rFonts w:eastAsiaTheme="minorEastAsia"/>
                <w:kern w:val="0"/>
                <w:sz w:val="24"/>
                <w:highlight w:val="none"/>
                <w:lang w:bidi="ar"/>
              </w:rPr>
            </w:pPr>
            <w:r>
              <w:rPr>
                <w:rFonts w:eastAsiaTheme="minorEastAsia"/>
                <w:kern w:val="0"/>
                <w:sz w:val="24"/>
                <w:highlight w:val="none"/>
                <w:lang w:bidi="ar"/>
              </w:rPr>
              <w:t>光电子器件</w:t>
            </w:r>
          </w:p>
        </w:tc>
        <w:tc>
          <w:tcPr>
            <w:tcW w:w="1462" w:type="dxa"/>
            <w:shd w:val="clear" w:color="000000" w:fill="FFFFFF"/>
            <w:vAlign w:val="center"/>
          </w:tcPr>
          <w:p w14:paraId="59285D97">
            <w:pPr>
              <w:widowControl/>
              <w:adjustRightInd w:val="0"/>
              <w:snapToGrid w:val="0"/>
              <w:spacing w:line="300" w:lineRule="exact"/>
              <w:jc w:val="center"/>
              <w:textAlignment w:val="center"/>
              <w:rPr>
                <w:rFonts w:eastAsiaTheme="minorEastAsia"/>
                <w:kern w:val="0"/>
                <w:sz w:val="24"/>
                <w:highlight w:val="none"/>
                <w:lang w:bidi="ar"/>
              </w:rPr>
            </w:pPr>
            <w:r>
              <w:rPr>
                <w:rFonts w:eastAsiaTheme="minorEastAsia"/>
                <w:kern w:val="0"/>
                <w:sz w:val="24"/>
                <w:highlight w:val="none"/>
                <w:lang w:bidi="ar"/>
              </w:rPr>
              <w:t>万只</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238075B3">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8699</w:t>
            </w:r>
          </w:p>
        </w:tc>
        <w:tc>
          <w:tcPr>
            <w:tcW w:w="2041" w:type="dxa"/>
            <w:tcBorders>
              <w:top w:val="single" w:color="auto" w:sz="4" w:space="0"/>
              <w:left w:val="nil"/>
              <w:bottom w:val="single" w:color="auto" w:sz="4" w:space="0"/>
              <w:right w:val="nil"/>
            </w:tcBorders>
            <w:shd w:val="clear" w:color="000000" w:fill="FFFFFF"/>
            <w:vAlign w:val="center"/>
          </w:tcPr>
          <w:p w14:paraId="06FE7AF2">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66.6</w:t>
            </w:r>
          </w:p>
        </w:tc>
      </w:tr>
      <w:tr w14:paraId="45E6F8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619" w:type="dxa"/>
            <w:shd w:val="clear" w:color="000000" w:fill="FFFFFF"/>
            <w:vAlign w:val="center"/>
          </w:tcPr>
          <w:p w14:paraId="424C3213">
            <w:pPr>
              <w:widowControl/>
              <w:adjustRightInd w:val="0"/>
              <w:snapToGrid w:val="0"/>
              <w:spacing w:line="300" w:lineRule="exact"/>
              <w:jc w:val="left"/>
              <w:textAlignment w:val="center"/>
              <w:rPr>
                <w:rFonts w:eastAsiaTheme="minorEastAsia"/>
                <w:kern w:val="0"/>
                <w:sz w:val="24"/>
                <w:highlight w:val="none"/>
                <w:lang w:bidi="ar"/>
              </w:rPr>
            </w:pPr>
            <w:r>
              <w:rPr>
                <w:rFonts w:eastAsiaTheme="minorEastAsia"/>
                <w:kern w:val="0"/>
                <w:sz w:val="24"/>
                <w:highlight w:val="none"/>
                <w:lang w:bidi="ar"/>
              </w:rPr>
              <w:t>电子元件</w:t>
            </w:r>
          </w:p>
        </w:tc>
        <w:tc>
          <w:tcPr>
            <w:tcW w:w="1462" w:type="dxa"/>
            <w:shd w:val="clear" w:color="000000" w:fill="FFFFFF"/>
            <w:vAlign w:val="center"/>
          </w:tcPr>
          <w:p w14:paraId="15FAEE64">
            <w:pPr>
              <w:widowControl/>
              <w:adjustRightInd w:val="0"/>
              <w:snapToGrid w:val="0"/>
              <w:spacing w:line="300" w:lineRule="exact"/>
              <w:jc w:val="center"/>
              <w:textAlignment w:val="center"/>
              <w:rPr>
                <w:rFonts w:eastAsiaTheme="minorEastAsia"/>
                <w:kern w:val="0"/>
                <w:sz w:val="24"/>
                <w:highlight w:val="none"/>
                <w:lang w:bidi="ar"/>
              </w:rPr>
            </w:pPr>
            <w:r>
              <w:rPr>
                <w:rFonts w:eastAsiaTheme="minorEastAsia"/>
                <w:kern w:val="0"/>
                <w:sz w:val="24"/>
                <w:highlight w:val="none"/>
                <w:lang w:bidi="ar"/>
              </w:rPr>
              <w:t>万只</w:t>
            </w:r>
          </w:p>
        </w:tc>
        <w:tc>
          <w:tcPr>
            <w:tcW w:w="2041" w:type="dxa"/>
            <w:tcBorders>
              <w:top w:val="single" w:color="auto" w:sz="4" w:space="0"/>
              <w:left w:val="single" w:color="auto" w:sz="4" w:space="0"/>
              <w:bottom w:val="single" w:color="auto" w:sz="4" w:space="0"/>
              <w:right w:val="single" w:color="auto" w:sz="4" w:space="0"/>
            </w:tcBorders>
            <w:shd w:val="clear" w:color="000000" w:fill="FFFFFF"/>
            <w:vAlign w:val="center"/>
          </w:tcPr>
          <w:p w14:paraId="490D13DF">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673784</w:t>
            </w:r>
          </w:p>
        </w:tc>
        <w:tc>
          <w:tcPr>
            <w:tcW w:w="2041" w:type="dxa"/>
            <w:tcBorders>
              <w:top w:val="single" w:color="auto" w:sz="4" w:space="0"/>
              <w:left w:val="nil"/>
              <w:bottom w:val="single" w:color="auto" w:sz="4" w:space="0"/>
              <w:right w:val="nil"/>
            </w:tcBorders>
            <w:shd w:val="clear" w:color="000000" w:fill="FFFFFF"/>
            <w:vAlign w:val="center"/>
          </w:tcPr>
          <w:p w14:paraId="24CD9107">
            <w:pPr>
              <w:widowControl/>
              <w:adjustRightInd w:val="0"/>
              <w:snapToGrid w:val="0"/>
              <w:spacing w:line="300" w:lineRule="exact"/>
              <w:jc w:val="center"/>
              <w:textAlignment w:val="center"/>
              <w:rPr>
                <w:rFonts w:eastAsiaTheme="minorEastAsia"/>
                <w:sz w:val="24"/>
                <w:highlight w:val="none"/>
              </w:rPr>
            </w:pPr>
            <w:r>
              <w:rPr>
                <w:rFonts w:eastAsiaTheme="minorEastAsia"/>
                <w:sz w:val="24"/>
                <w:highlight w:val="none"/>
              </w:rPr>
              <w:t>8.4</w:t>
            </w:r>
          </w:p>
        </w:tc>
      </w:tr>
    </w:tbl>
    <w:p w14:paraId="5F806B14">
      <w:pPr>
        <w:ind w:firstLine="632" w:firstLineChars="200"/>
        <w:rPr>
          <w:rFonts w:eastAsia="仿宋_GB2312"/>
          <w:szCs w:val="32"/>
          <w:highlight w:val="none"/>
        </w:rPr>
      </w:pPr>
      <w:r>
        <w:rPr>
          <w:rFonts w:eastAsia="仿宋_GB2312"/>
          <w:szCs w:val="32"/>
          <w:highlight w:val="none"/>
        </w:rPr>
        <w:t>全年具有资质等级的总承包和专业承包建筑业企业完成建筑业总产值4690.90亿元，比上年下降8.7%。</w:t>
      </w:r>
    </w:p>
    <w:p w14:paraId="1E13C641">
      <w:pPr>
        <w:pStyle w:val="6"/>
        <w:widowControl/>
        <w:shd w:val="clear" w:color="auto" w:fill="FFFFFF"/>
        <w:adjustRightInd w:val="0"/>
        <w:snapToGrid w:val="0"/>
        <w:spacing w:before="0" w:beforeAutospacing="0" w:after="0" w:afterAutospacing="0" w:line="540" w:lineRule="exact"/>
        <w:ind w:firstLine="632" w:firstLineChars="200"/>
        <w:jc w:val="both"/>
        <w:rPr>
          <w:rFonts w:ascii="Times New Roman" w:hAnsi="Times New Roman" w:eastAsia="黑体"/>
          <w:b/>
          <w:sz w:val="32"/>
          <w:szCs w:val="32"/>
          <w:highlight w:val="none"/>
        </w:rPr>
      </w:pPr>
      <w:r>
        <w:rPr>
          <w:rStyle w:val="9"/>
          <w:rFonts w:ascii="Times New Roman" w:hAnsi="Times New Roman" w:eastAsia="黑体"/>
          <w:b w:val="0"/>
          <w:sz w:val="32"/>
          <w:szCs w:val="32"/>
          <w:highlight w:val="none"/>
          <w:shd w:val="clear" w:color="auto" w:fill="FFFFFF"/>
        </w:rPr>
        <w:t>四、固定资产投资</w:t>
      </w:r>
    </w:p>
    <w:p w14:paraId="30C85425">
      <w:pPr>
        <w:ind w:firstLine="632" w:firstLineChars="200"/>
        <w:rPr>
          <w:rFonts w:eastAsia="仿宋_GB2312"/>
          <w:szCs w:val="32"/>
          <w:highlight w:val="none"/>
        </w:rPr>
      </w:pPr>
      <w:r>
        <w:rPr>
          <w:rFonts w:eastAsia="仿宋_GB2312"/>
          <w:szCs w:val="32"/>
          <w:highlight w:val="none"/>
        </w:rPr>
        <w:t>全年固定资产投资比上年下降4.9%，扣除房地产开发投资的固定资产投资增长2.4%。分产业看，第一产业投资增长65.6%；第二产业投资增长11.9%，其中工业投资增长12.1%；第三产业投资下降9.9%。分领域看，制造业投资增长9.5%，其中计算机通信和其它电子设备制造业、专用设备制造业、化学原料和化学制品制造业</w:t>
      </w:r>
      <w:r>
        <w:rPr>
          <w:rFonts w:hint="eastAsia" w:eastAsia="仿宋_GB2312"/>
          <w:szCs w:val="32"/>
          <w:highlight w:val="none"/>
        </w:rPr>
        <w:t>投资</w:t>
      </w:r>
      <w:r>
        <w:rPr>
          <w:rFonts w:eastAsia="仿宋_GB2312"/>
          <w:szCs w:val="32"/>
          <w:highlight w:val="none"/>
        </w:rPr>
        <w:t>分别增长11.5%、17.9%、30.3%；基础设施投资增长3.2%；房地产开发投资下降13.1%。</w:t>
      </w:r>
    </w:p>
    <w:p w14:paraId="1050D3DB">
      <w:pPr>
        <w:ind w:firstLine="632" w:firstLineChars="200"/>
        <w:rPr>
          <w:rFonts w:eastAsia="仿宋_GB2312"/>
          <w:szCs w:val="32"/>
          <w:highlight w:val="none"/>
        </w:rPr>
      </w:pPr>
      <w:r>
        <w:rPr>
          <w:rFonts w:eastAsia="仿宋_GB2312"/>
          <w:szCs w:val="32"/>
          <w:highlight w:val="none"/>
        </w:rPr>
        <w:t>全年商品房销售面积851.62万平方米，比上年下降8.4%。</w:t>
      </w:r>
    </w:p>
    <w:p w14:paraId="1606AA0F">
      <w:pPr>
        <w:adjustRightInd w:val="0"/>
        <w:snapToGrid w:val="0"/>
        <w:spacing w:line="540" w:lineRule="exact"/>
        <w:ind w:firstLine="632" w:firstLineChars="200"/>
        <w:rPr>
          <w:rFonts w:eastAsia="黑体"/>
          <w:b/>
          <w:szCs w:val="32"/>
          <w:highlight w:val="none"/>
          <w:shd w:val="clear" w:color="auto" w:fill="FFFFFF"/>
        </w:rPr>
      </w:pPr>
      <w:r>
        <w:rPr>
          <w:rStyle w:val="9"/>
          <w:rFonts w:eastAsia="黑体"/>
          <w:b w:val="0"/>
          <w:szCs w:val="32"/>
          <w:highlight w:val="none"/>
          <w:shd w:val="clear" w:color="auto" w:fill="FFFFFF"/>
        </w:rPr>
        <w:t>五、国内贸易</w:t>
      </w:r>
    </w:p>
    <w:p w14:paraId="5F7527DF">
      <w:pPr>
        <w:adjustRightInd w:val="0"/>
        <w:snapToGrid w:val="0"/>
        <w:spacing w:line="540" w:lineRule="exact"/>
        <w:ind w:firstLine="632" w:firstLineChars="200"/>
        <w:rPr>
          <w:rFonts w:eastAsia="仿宋_GB2312"/>
          <w:szCs w:val="32"/>
          <w:highlight w:val="none"/>
          <w:shd w:val="clear" w:color="auto" w:fill="FFFFFF"/>
        </w:rPr>
      </w:pPr>
      <w:r>
        <w:rPr>
          <w:rFonts w:eastAsia="仿宋_GB2312"/>
          <w:szCs w:val="32"/>
          <w:highlight w:val="none"/>
        </w:rPr>
        <w:t>全年</w:t>
      </w:r>
      <w:r>
        <w:rPr>
          <w:rFonts w:eastAsia="仿宋_GB2312"/>
          <w:szCs w:val="32"/>
          <w:highlight w:val="none"/>
          <w:shd w:val="clear" w:color="auto" w:fill="FFFFFF"/>
        </w:rPr>
        <w:t>社会消费品零售总额8135.85亿元，</w:t>
      </w:r>
      <w:r>
        <w:rPr>
          <w:rFonts w:eastAsia="仿宋_GB2312"/>
          <w:szCs w:val="32"/>
          <w:highlight w:val="none"/>
        </w:rPr>
        <w:t>比上年增长3.5%。其中，限额以上单位消费品零售额比上年增长3.0%。按消费类型分，限额以上单位商品零售额增长3.3%；餐饮收入下降1.0%。分商品类型看，</w:t>
      </w:r>
      <w:r>
        <w:rPr>
          <w:rFonts w:eastAsia="仿宋_GB2312"/>
          <w:szCs w:val="32"/>
          <w:highlight w:val="none"/>
          <w:shd w:val="clear" w:color="auto" w:fill="FFFFFF"/>
        </w:rPr>
        <w:t>全年限额以上单位商品零售额中，新能源汽车增长33.1%；体育娱乐用品类、金银珠宝类、家用电器和音像器材类、通讯器材类分别增长5.0%、15.4%、9.8%和19.0%。</w:t>
      </w:r>
    </w:p>
    <w:p w14:paraId="049C6B47">
      <w:pPr>
        <w:pStyle w:val="6"/>
        <w:shd w:val="clear" w:color="auto" w:fill="FFFFFF"/>
        <w:adjustRightInd w:val="0"/>
        <w:snapToGrid w:val="0"/>
        <w:spacing w:before="0" w:beforeAutospacing="0" w:after="0" w:afterAutospacing="0" w:line="540" w:lineRule="exact"/>
        <w:ind w:firstLine="632" w:firstLineChars="200"/>
        <w:jc w:val="both"/>
        <w:rPr>
          <w:rFonts w:ascii="Times New Roman" w:hAnsi="Times New Roman" w:eastAsia="黑体"/>
          <w:b/>
          <w:sz w:val="32"/>
          <w:szCs w:val="32"/>
          <w:highlight w:val="none"/>
        </w:rPr>
      </w:pPr>
      <w:r>
        <w:rPr>
          <w:rStyle w:val="9"/>
          <w:rFonts w:ascii="Times New Roman" w:hAnsi="Times New Roman" w:eastAsia="黑体"/>
          <w:b w:val="0"/>
          <w:sz w:val="32"/>
          <w:szCs w:val="32"/>
          <w:highlight w:val="none"/>
        </w:rPr>
        <w:t>六、对外经济</w:t>
      </w:r>
    </w:p>
    <w:p w14:paraId="1CA0ACC2">
      <w:pPr>
        <w:pStyle w:val="6"/>
        <w:shd w:val="clear" w:color="auto" w:fill="FFFFFF"/>
        <w:adjustRightInd w:val="0"/>
        <w:snapToGrid w:val="0"/>
        <w:spacing w:before="0" w:beforeAutospacing="0" w:after="0" w:afterAutospacing="0" w:line="540" w:lineRule="exact"/>
        <w:ind w:firstLine="632" w:firstLineChars="200"/>
        <w:jc w:val="both"/>
        <w:rPr>
          <w:rFonts w:ascii="Times New Roman" w:hAnsi="Times New Roman" w:eastAsia="仿宋_GB2312"/>
          <w:kern w:val="2"/>
          <w:sz w:val="32"/>
          <w:szCs w:val="32"/>
          <w:highlight w:val="none"/>
          <w:shd w:val="clear" w:color="auto" w:fill="FFFFFF"/>
        </w:rPr>
      </w:pPr>
      <w:r>
        <w:rPr>
          <w:rFonts w:ascii="Times New Roman" w:hAnsi="Times New Roman" w:eastAsia="仿宋_GB2312"/>
          <w:kern w:val="2"/>
          <w:sz w:val="32"/>
          <w:szCs w:val="32"/>
          <w:highlight w:val="none"/>
          <w:shd w:val="clear" w:color="auto" w:fill="FFFFFF"/>
        </w:rPr>
        <w:t>全市全年货物进出口总额5380.9亿元，比上年下降1.4%。其中，出口3486.5亿元，增长0.7%；进口1894.4亿元，下降5.1%。</w:t>
      </w:r>
    </w:p>
    <w:p w14:paraId="3D64DDC7">
      <w:pPr>
        <w:pStyle w:val="6"/>
        <w:widowControl/>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全年实际使用外资13.12亿美元，比上年下降53.7%。全年新设外商投资企业523家，比上年增长6.7%。</w:t>
      </w:r>
    </w:p>
    <w:p w14:paraId="11586D73">
      <w:pPr>
        <w:adjustRightInd w:val="0"/>
        <w:snapToGrid w:val="0"/>
        <w:spacing w:line="560" w:lineRule="exact"/>
        <w:ind w:firstLine="632" w:firstLineChars="200"/>
        <w:rPr>
          <w:rFonts w:eastAsia="仿宋_GB2312"/>
          <w:szCs w:val="32"/>
          <w:highlight w:val="none"/>
          <w:shd w:val="clear" w:color="auto" w:fill="FFFFFF"/>
        </w:rPr>
      </w:pPr>
      <w:r>
        <w:rPr>
          <w:rFonts w:eastAsia="仿宋_GB2312"/>
          <w:szCs w:val="32"/>
          <w:highlight w:val="none"/>
          <w:shd w:val="clear" w:color="auto" w:fill="FFFFFF"/>
        </w:rPr>
        <w:t>全年新增境外投资项目145个，比上年下降13.7%；中方协议投资额4.65亿美元，比上年下降50.4%。</w:t>
      </w:r>
    </w:p>
    <w:p w14:paraId="2FC9F778">
      <w:pPr>
        <w:adjustRightInd w:val="0"/>
        <w:snapToGrid w:val="0"/>
        <w:spacing w:line="560" w:lineRule="exact"/>
        <w:ind w:firstLine="632" w:firstLineChars="200"/>
        <w:rPr>
          <w:highlight w:val="none"/>
        </w:rPr>
      </w:pPr>
      <w:r>
        <w:rPr>
          <w:rFonts w:eastAsia="仿宋_GB2312"/>
          <w:szCs w:val="32"/>
          <w:highlight w:val="none"/>
          <w:shd w:val="clear" w:color="auto" w:fill="FFFFFF"/>
        </w:rPr>
        <w:t>全年对外承包工程新签合同额47.81亿美元，比上年增长16.6%；完成营业额31.34亿美元，比上年增长3.5%。</w:t>
      </w:r>
    </w:p>
    <w:p w14:paraId="7D42D109">
      <w:pPr>
        <w:adjustRightInd w:val="0"/>
        <w:snapToGrid w:val="0"/>
        <w:spacing w:line="560" w:lineRule="exact"/>
        <w:ind w:firstLine="632" w:firstLineChars="200"/>
        <w:rPr>
          <w:rFonts w:eastAsia="黑体"/>
          <w:b/>
          <w:szCs w:val="32"/>
          <w:highlight w:val="none"/>
          <w:shd w:val="clear" w:color="auto" w:fill="FFFFFF"/>
        </w:rPr>
      </w:pPr>
      <w:r>
        <w:rPr>
          <w:rStyle w:val="9"/>
          <w:rFonts w:eastAsia="黑体"/>
          <w:b w:val="0"/>
          <w:szCs w:val="32"/>
          <w:highlight w:val="none"/>
          <w:shd w:val="clear" w:color="auto" w:fill="FFFFFF"/>
        </w:rPr>
        <w:t>七、交通、邮电和旅游</w:t>
      </w:r>
    </w:p>
    <w:p w14:paraId="24BA4563">
      <w:pPr>
        <w:ind w:firstLine="632" w:firstLineChars="200"/>
        <w:rPr>
          <w:rFonts w:eastAsia="仿宋_GB2312"/>
          <w:szCs w:val="32"/>
          <w:highlight w:val="none"/>
          <w:shd w:val="clear" w:color="auto" w:fill="FFFFFF"/>
        </w:rPr>
      </w:pPr>
      <w:r>
        <w:rPr>
          <w:rFonts w:eastAsia="仿宋_GB2312"/>
          <w:szCs w:val="32"/>
          <w:highlight w:val="none"/>
          <w:shd w:val="clear" w:color="auto" w:fill="FFFFFF"/>
        </w:rPr>
        <w:t>全年公路货物运输量26914.70万吨，比上年增长8.6%；水路货物运输量22077.64万吨，增长11.3%；铁路货运发送量764.6万吨，下降8.1%；民航货邮运输量7.42万吨，增长17.8%。机场货邮吞吐量47.67万吨，增长15.0%。港口集装箱吞吐量401.33万标箱，增长8.2%。全年公路旅客运输量8170.36万人次，比上年增长8.9%；铁路旅客发送量8938.5万人次，增长3.1%；水路旅客运输量79.31万人次，增长4.9%；民航旅客运输量1487.04万人次，增长10.0%。机场旅客吞吐量3137.82万人，增长0.6%。已建成轨道交通线路15条（含有轨电车2条）、运营里程</w:t>
      </w:r>
      <w:r>
        <w:rPr>
          <w:rFonts w:hint="eastAsia" w:eastAsia="仿宋_GB2312"/>
          <w:szCs w:val="32"/>
          <w:highlight w:val="none"/>
          <w:shd w:val="clear" w:color="auto" w:fill="FFFFFF"/>
        </w:rPr>
        <w:t>524.4</w:t>
      </w:r>
      <w:r>
        <w:rPr>
          <w:rFonts w:eastAsia="仿宋_GB2312"/>
          <w:szCs w:val="32"/>
          <w:highlight w:val="none"/>
          <w:shd w:val="clear" w:color="auto" w:fill="FFFFFF"/>
        </w:rPr>
        <w:t>公里（含有轨电车</w:t>
      </w:r>
      <w:r>
        <w:rPr>
          <w:rFonts w:hint="eastAsia" w:eastAsia="仿宋_GB2312"/>
          <w:szCs w:val="32"/>
          <w:highlight w:val="none"/>
          <w:shd w:val="clear" w:color="auto" w:fill="FFFFFF"/>
        </w:rPr>
        <w:t>16.8</w:t>
      </w:r>
      <w:r>
        <w:rPr>
          <w:rFonts w:eastAsia="仿宋_GB2312"/>
          <w:szCs w:val="32"/>
          <w:highlight w:val="none"/>
          <w:shd w:val="clear" w:color="auto" w:fill="FFFFFF"/>
        </w:rPr>
        <w:t>公里）。全年地铁实现客运量11.34亿人次，比上年增长3.4%。</w:t>
      </w:r>
    </w:p>
    <w:p w14:paraId="522BB732">
      <w:pPr>
        <w:ind w:firstLine="632" w:firstLineChars="200"/>
        <w:rPr>
          <w:rFonts w:eastAsia="仿宋_GB2312"/>
          <w:szCs w:val="32"/>
          <w:highlight w:val="none"/>
          <w:shd w:val="clear" w:color="auto" w:fill="FFFFFF"/>
        </w:rPr>
      </w:pPr>
      <w:r>
        <w:rPr>
          <w:rFonts w:eastAsia="仿宋_GB2312"/>
          <w:bCs/>
          <w:szCs w:val="32"/>
          <w:highlight w:val="none"/>
          <w:shd w:val="clear" w:color="auto" w:fill="FFFFFF"/>
        </w:rPr>
        <w:t>年末全市机动车保有量（不包含拖拉机）381.73万辆，比上年末增加22.05万辆。其中，私人汽车保有量达285.30万辆，增加18.64万辆。</w:t>
      </w:r>
    </w:p>
    <w:p w14:paraId="5F47C713">
      <w:pPr>
        <w:pStyle w:val="6"/>
        <w:widowControl/>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仿宋_GB2312"/>
          <w:sz w:val="32"/>
          <w:szCs w:val="32"/>
          <w:highlight w:val="none"/>
        </w:rPr>
      </w:pPr>
      <w:r>
        <w:rPr>
          <w:rFonts w:ascii="Times New Roman" w:hAnsi="Times New Roman" w:eastAsia="仿宋_GB2312"/>
          <w:bCs/>
          <w:sz w:val="32"/>
          <w:szCs w:val="32"/>
          <w:highlight w:val="none"/>
          <w:shd w:val="clear" w:color="auto" w:fill="FFFFFF"/>
        </w:rPr>
        <w:t>全年完成邮政业务总量176.36亿标准量，比上年增长11.8%；邮政业务收入169.85亿元，增长6.3%。全年完成电信业务总量195.22亿元，比上年增长8.0%；电信业务收入209.52亿元，增长0.8%。</w:t>
      </w:r>
      <w:r>
        <w:rPr>
          <w:rFonts w:ascii="Times New Roman" w:hAnsi="Times New Roman" w:eastAsia="仿宋_GB2312"/>
          <w:sz w:val="32"/>
          <w:szCs w:val="32"/>
          <w:highlight w:val="none"/>
          <w:shd w:val="clear" w:color="auto" w:fill="FFFFFF"/>
        </w:rPr>
        <w:t>全年</w:t>
      </w:r>
      <w:r>
        <w:rPr>
          <w:rFonts w:ascii="Times New Roman" w:hAnsi="Times New Roman" w:eastAsia="仿宋_GB2312"/>
          <w:sz w:val="32"/>
          <w:szCs w:val="32"/>
          <w:highlight w:val="none"/>
        </w:rPr>
        <w:t>完成全社会快递业务量14.32亿件，比上年增长8.3%。</w:t>
      </w:r>
    </w:p>
    <w:p w14:paraId="7CDE17BA">
      <w:pPr>
        <w:pStyle w:val="6"/>
        <w:widowControl/>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仿宋_GB2312"/>
          <w:color w:val="FF0000"/>
          <w:sz w:val="32"/>
          <w:szCs w:val="32"/>
          <w:highlight w:val="none"/>
        </w:rPr>
      </w:pPr>
      <w:r>
        <w:rPr>
          <w:rFonts w:ascii="Times New Roman" w:hAnsi="Times New Roman" w:eastAsia="仿宋_GB2312"/>
          <w:sz w:val="32"/>
          <w:szCs w:val="32"/>
          <w:highlight w:val="none"/>
        </w:rPr>
        <w:t>全年全市实现游客总花费2390.2亿元，同比增长9.3%。其中，旅游外汇收入9.9亿美元，同比增长27%。全年接待境内外游客20052.8万人次，同比增长10.6%。其中，接待入境过夜</w:t>
      </w:r>
      <w:r>
        <w:rPr>
          <w:rFonts w:hint="eastAsia" w:ascii="Times New Roman" w:hAnsi="Times New Roman" w:eastAsia="仿宋_GB2312"/>
          <w:sz w:val="32"/>
          <w:szCs w:val="32"/>
          <w:highlight w:val="none"/>
        </w:rPr>
        <w:t>旅游者</w:t>
      </w:r>
      <w:r>
        <w:rPr>
          <w:rFonts w:ascii="Times New Roman" w:hAnsi="Times New Roman" w:eastAsia="仿宋_GB2312"/>
          <w:sz w:val="32"/>
          <w:szCs w:val="32"/>
          <w:highlight w:val="none"/>
        </w:rPr>
        <w:t>68.2万人次，同比增长17.6%。</w:t>
      </w:r>
    </w:p>
    <w:p w14:paraId="74A4A708">
      <w:pPr>
        <w:pStyle w:val="6"/>
        <w:widowControl/>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黑体"/>
          <w:b/>
          <w:sz w:val="32"/>
          <w:szCs w:val="32"/>
          <w:highlight w:val="none"/>
        </w:rPr>
      </w:pPr>
      <w:r>
        <w:rPr>
          <w:rStyle w:val="9"/>
          <w:rFonts w:ascii="Times New Roman" w:hAnsi="Times New Roman" w:eastAsia="黑体"/>
          <w:b w:val="0"/>
          <w:sz w:val="32"/>
          <w:szCs w:val="32"/>
          <w:highlight w:val="none"/>
          <w:shd w:val="clear" w:color="auto" w:fill="FFFFFF"/>
        </w:rPr>
        <w:t>八、财政金融</w:t>
      </w:r>
    </w:p>
    <w:p w14:paraId="4D5163E4">
      <w:pPr>
        <w:pStyle w:val="6"/>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全年全市一般公共预算收入1620.91亿元，比上年增长1.6%。其中税收收入1324.12亿元，增长2.6%。全年一般公共预算支出1704.89亿元，较上年持平。</w:t>
      </w:r>
    </w:p>
    <w:p w14:paraId="540EAF54">
      <w:pPr>
        <w:pStyle w:val="6"/>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年末全市金融机构本外币各项存款余额为65688.44亿元，比上年末增长15.3%。其中住户存款余额19235.80亿元，增长10.8%；非金融企业存款余额18191.55亿元，增长8.1%。年末金融机构本外币各项贷款余额63201.98亿元，比上年末增长7.5%。其中企（事）业单位贷款余额45253.22亿元，增长11.6%。</w:t>
      </w:r>
    </w:p>
    <w:p w14:paraId="474DBD9D">
      <w:pPr>
        <w:pStyle w:val="6"/>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rPr>
        <w:t>年末全市金融机构人民币各项存款余额为64305.04亿元，比上年末增长15.0%。其中住户存款余额18930.79亿元，增长10.8%。年末金融机构人民币各项贷款余额62784.91亿元，比上年末增长7.5%。</w:t>
      </w:r>
    </w:p>
    <w:p w14:paraId="695F86D5">
      <w:pPr>
        <w:pStyle w:val="6"/>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仿宋_GB2312"/>
          <w:sz w:val="32"/>
          <w:szCs w:val="32"/>
          <w:highlight w:val="none"/>
        </w:rPr>
      </w:pPr>
      <w:r>
        <w:rPr>
          <w:rFonts w:ascii="Times New Roman" w:hAnsi="Times New Roman" w:eastAsia="仿宋_GB2312"/>
          <w:sz w:val="32"/>
          <w:szCs w:val="32"/>
          <w:highlight w:val="none"/>
          <w:shd w:val="clear" w:color="auto" w:fill="FFFFFF"/>
        </w:rPr>
        <w:t>全年新增5家境内外上市公司，总数达到167家。</w:t>
      </w:r>
    </w:p>
    <w:p w14:paraId="27D198D9">
      <w:pPr>
        <w:ind w:firstLine="632" w:firstLineChars="200"/>
        <w:rPr>
          <w:rFonts w:eastAsia="仿宋_GB2312"/>
          <w:szCs w:val="32"/>
          <w:highlight w:val="none"/>
        </w:rPr>
      </w:pPr>
      <w:r>
        <w:rPr>
          <w:rFonts w:eastAsia="仿宋_GB2312"/>
          <w:szCs w:val="32"/>
          <w:highlight w:val="none"/>
          <w:shd w:val="clear" w:color="auto" w:fill="FFFFFF"/>
        </w:rPr>
        <w:t>全年保险公司原保险保费收入</w:t>
      </w:r>
      <w:r>
        <w:rPr>
          <w:rFonts w:eastAsia="仿宋_GB2312"/>
          <w:szCs w:val="32"/>
          <w:highlight w:val="none"/>
          <w:shd w:val="clear" w:color="auto" w:fill="FFFFFF"/>
          <w:vertAlign w:val="superscript"/>
        </w:rPr>
        <w:t>[3]</w:t>
      </w:r>
      <w:r>
        <w:rPr>
          <w:rFonts w:eastAsia="仿宋_GB2312"/>
          <w:szCs w:val="32"/>
          <w:highlight w:val="none"/>
          <w:shd w:val="clear" w:color="auto" w:fill="FFFFFF"/>
        </w:rPr>
        <w:t>1279.3亿元，按可比口径计算，比上年增长10.1%。其中，寿险业务原保险保费收入840.3亿元，健康险和意外伤害险业务原保险保费收入184.2亿元，财产险业务原保险保费收入254.8亿元。</w:t>
      </w:r>
    </w:p>
    <w:p w14:paraId="26BE3A50">
      <w:pPr>
        <w:pStyle w:val="6"/>
        <w:shd w:val="clear" w:color="auto" w:fill="FFFFFF"/>
        <w:adjustRightInd w:val="0"/>
        <w:snapToGrid w:val="0"/>
        <w:spacing w:before="0" w:beforeAutospacing="0" w:after="0" w:afterAutospacing="0" w:line="560" w:lineRule="exact"/>
        <w:ind w:firstLine="632" w:firstLineChars="200"/>
        <w:jc w:val="both"/>
        <w:rPr>
          <w:rStyle w:val="9"/>
          <w:rFonts w:ascii="Times New Roman" w:hAnsi="Times New Roman" w:eastAsia="黑体"/>
          <w:b w:val="0"/>
          <w:kern w:val="2"/>
          <w:sz w:val="32"/>
          <w:szCs w:val="32"/>
          <w:highlight w:val="none"/>
          <w:shd w:val="clear" w:color="auto" w:fill="FFFFFF"/>
        </w:rPr>
      </w:pPr>
      <w:r>
        <w:rPr>
          <w:rStyle w:val="9"/>
          <w:rFonts w:ascii="Times New Roman" w:hAnsi="Times New Roman" w:eastAsia="黑体"/>
          <w:b w:val="0"/>
          <w:sz w:val="32"/>
          <w:szCs w:val="32"/>
          <w:highlight w:val="none"/>
          <w:shd w:val="clear" w:color="auto" w:fill="FFFFFF"/>
        </w:rPr>
        <w:t>九、人民生活和社会保障</w:t>
      </w:r>
    </w:p>
    <w:p w14:paraId="3BB9ECE4">
      <w:pPr>
        <w:pStyle w:val="6"/>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黑体"/>
          <w:sz w:val="30"/>
          <w:szCs w:val="30"/>
          <w:highlight w:val="none"/>
          <w:shd w:val="clear" w:color="auto" w:fill="FFFFFF"/>
        </w:rPr>
      </w:pPr>
      <w:r>
        <w:rPr>
          <w:rFonts w:ascii="Times New Roman" w:hAnsi="Times New Roman" w:eastAsia="仿宋_GB2312"/>
          <w:sz w:val="32"/>
          <w:szCs w:val="32"/>
          <w:highlight w:val="none"/>
          <w:shd w:val="clear" w:color="auto" w:fill="FFFFFF"/>
        </w:rPr>
        <w:t>全年全市居民人均可支配收入78243元，比上年增长4.1%。其中，工资性收入49231元，增长4.5%；经营净收入7865元，增长3.9%；财产净收入7450元，增长1.1%；转移净收入13697元，增长4.4%。按常住地分，城镇居民人均可支配收入86320元，增长3.9%；农村居民人均可支配收入40471元，增长4.6%。全年全市居民人均消费支出46040元，比上年增长3.3%。按常住地分，城镇居民人均消费支出49506元，增长3.3%；农村居民人均消费支出29830元，增长2.3%。</w:t>
      </w:r>
    </w:p>
    <w:p w14:paraId="4A20196D">
      <w:pPr>
        <w:pStyle w:val="6"/>
        <w:shd w:val="clear" w:color="auto" w:fill="FFFFFF"/>
        <w:adjustRightInd w:val="0"/>
        <w:snapToGrid w:val="0"/>
        <w:spacing w:before="0" w:beforeAutospacing="0" w:after="0" w:afterAutospacing="0" w:line="360" w:lineRule="auto"/>
        <w:ind w:firstLine="592" w:firstLineChars="200"/>
        <w:jc w:val="center"/>
        <w:rPr>
          <w:rFonts w:ascii="Times New Roman" w:hAnsi="Times New Roman" w:eastAsia="黑体"/>
          <w:sz w:val="30"/>
          <w:szCs w:val="30"/>
          <w:highlight w:val="none"/>
          <w:shd w:val="clear" w:color="auto" w:fill="FFFFFF"/>
        </w:rPr>
      </w:pPr>
      <w:r>
        <w:rPr>
          <w:rFonts w:ascii="Times New Roman" w:hAnsi="Times New Roman" w:eastAsia="黑体"/>
          <w:sz w:val="30"/>
          <w:szCs w:val="30"/>
          <w:highlight w:val="none"/>
          <w:shd w:val="clear" w:color="auto" w:fill="FFFFFF"/>
        </w:rPr>
        <w:t>表3  2025年居民人均消费支出构成情况</w:t>
      </w:r>
    </w:p>
    <w:tbl>
      <w:tblPr>
        <w:tblStyle w:val="7"/>
        <w:tblW w:w="7969" w:type="dxa"/>
        <w:jc w:val="center"/>
        <w:tblLayout w:type="autofit"/>
        <w:tblCellMar>
          <w:top w:w="0" w:type="dxa"/>
          <w:left w:w="108" w:type="dxa"/>
          <w:bottom w:w="0" w:type="dxa"/>
          <w:right w:w="108" w:type="dxa"/>
        </w:tblCellMar>
      </w:tblPr>
      <w:tblGrid>
        <w:gridCol w:w="2898"/>
        <w:gridCol w:w="2619"/>
        <w:gridCol w:w="2452"/>
      </w:tblGrid>
      <w:tr w14:paraId="7F1C5D77">
        <w:tblPrEx>
          <w:tblCellMar>
            <w:top w:w="0" w:type="dxa"/>
            <w:left w:w="108" w:type="dxa"/>
            <w:bottom w:w="0" w:type="dxa"/>
            <w:right w:w="108" w:type="dxa"/>
          </w:tblCellMar>
        </w:tblPrEx>
        <w:trPr>
          <w:trHeight w:val="459" w:hRule="atLeast"/>
          <w:jc w:val="center"/>
        </w:trPr>
        <w:tc>
          <w:tcPr>
            <w:tcW w:w="2898" w:type="dxa"/>
            <w:tcBorders>
              <w:top w:val="single" w:color="000000" w:sz="4" w:space="0"/>
              <w:left w:val="nil"/>
              <w:bottom w:val="single" w:color="000000" w:sz="4" w:space="0"/>
              <w:right w:val="single" w:color="000000" w:sz="4" w:space="0"/>
            </w:tcBorders>
            <w:shd w:val="clear" w:color="auto" w:fill="auto"/>
            <w:vAlign w:val="center"/>
          </w:tcPr>
          <w:p w14:paraId="67B1C3EE">
            <w:pPr>
              <w:widowControl/>
              <w:snapToGrid w:val="0"/>
              <w:jc w:val="center"/>
              <w:rPr>
                <w:rFonts w:eastAsia="宋体"/>
                <w:kern w:val="0"/>
                <w:sz w:val="24"/>
                <w:highlight w:val="none"/>
              </w:rPr>
            </w:pPr>
            <w:r>
              <w:rPr>
                <w:rFonts w:eastAsia="宋体"/>
                <w:kern w:val="0"/>
                <w:sz w:val="24"/>
                <w:highlight w:val="none"/>
              </w:rPr>
              <w:t>指标</w:t>
            </w:r>
          </w:p>
        </w:tc>
        <w:tc>
          <w:tcPr>
            <w:tcW w:w="2619" w:type="dxa"/>
            <w:tcBorders>
              <w:top w:val="single" w:color="000000" w:sz="4" w:space="0"/>
              <w:left w:val="nil"/>
              <w:bottom w:val="single" w:color="000000" w:sz="4" w:space="0"/>
              <w:right w:val="single" w:color="000000" w:sz="4" w:space="0"/>
            </w:tcBorders>
            <w:shd w:val="clear" w:color="000000" w:fill="FFFFFF"/>
            <w:vAlign w:val="center"/>
          </w:tcPr>
          <w:p w14:paraId="0FAC403E">
            <w:pPr>
              <w:widowControl/>
              <w:snapToGrid w:val="0"/>
              <w:jc w:val="center"/>
              <w:rPr>
                <w:rFonts w:eastAsia="宋体"/>
                <w:kern w:val="0"/>
                <w:sz w:val="24"/>
                <w:highlight w:val="none"/>
              </w:rPr>
            </w:pPr>
            <w:r>
              <w:rPr>
                <w:rFonts w:eastAsia="宋体"/>
                <w:kern w:val="0"/>
                <w:sz w:val="24"/>
                <w:highlight w:val="none"/>
              </w:rPr>
              <w:t>绝对值（元）</w:t>
            </w:r>
          </w:p>
        </w:tc>
        <w:tc>
          <w:tcPr>
            <w:tcW w:w="2452" w:type="dxa"/>
            <w:tcBorders>
              <w:top w:val="single" w:color="000000" w:sz="4" w:space="0"/>
              <w:left w:val="nil"/>
              <w:bottom w:val="single" w:color="000000" w:sz="4" w:space="0"/>
              <w:right w:val="nil"/>
            </w:tcBorders>
            <w:vAlign w:val="center"/>
          </w:tcPr>
          <w:p w14:paraId="70646B1A">
            <w:pPr>
              <w:widowControl/>
              <w:snapToGrid w:val="0"/>
              <w:jc w:val="center"/>
              <w:rPr>
                <w:rFonts w:eastAsia="宋体"/>
                <w:kern w:val="0"/>
                <w:sz w:val="24"/>
                <w:highlight w:val="none"/>
              </w:rPr>
            </w:pPr>
            <w:r>
              <w:rPr>
                <w:rFonts w:eastAsia="宋体"/>
                <w:kern w:val="0"/>
                <w:sz w:val="24"/>
                <w:highlight w:val="none"/>
              </w:rPr>
              <w:t>比上年增长（%）</w:t>
            </w:r>
          </w:p>
        </w:tc>
      </w:tr>
      <w:tr w14:paraId="5E1FD4A4">
        <w:tblPrEx>
          <w:tblCellMar>
            <w:top w:w="0" w:type="dxa"/>
            <w:left w:w="108" w:type="dxa"/>
            <w:bottom w:w="0" w:type="dxa"/>
            <w:right w:w="108" w:type="dxa"/>
          </w:tblCellMar>
        </w:tblPrEx>
        <w:trPr>
          <w:trHeight w:val="459" w:hRule="atLeast"/>
          <w:jc w:val="center"/>
        </w:trPr>
        <w:tc>
          <w:tcPr>
            <w:tcW w:w="2898" w:type="dxa"/>
            <w:tcBorders>
              <w:top w:val="nil"/>
              <w:left w:val="nil"/>
              <w:bottom w:val="single" w:color="000000" w:sz="4" w:space="0"/>
              <w:right w:val="single" w:color="000000" w:sz="4" w:space="0"/>
            </w:tcBorders>
            <w:shd w:val="clear" w:color="auto" w:fill="auto"/>
            <w:vAlign w:val="center"/>
          </w:tcPr>
          <w:p w14:paraId="583D7184">
            <w:pPr>
              <w:widowControl/>
              <w:snapToGrid w:val="0"/>
              <w:rPr>
                <w:rFonts w:eastAsia="宋体"/>
                <w:kern w:val="0"/>
                <w:sz w:val="24"/>
                <w:highlight w:val="none"/>
              </w:rPr>
            </w:pPr>
            <w:r>
              <w:rPr>
                <w:rFonts w:eastAsia="宋体"/>
                <w:kern w:val="0"/>
                <w:sz w:val="24"/>
                <w:highlight w:val="none"/>
              </w:rPr>
              <w:t>居民人均消费支出</w:t>
            </w:r>
          </w:p>
        </w:tc>
        <w:tc>
          <w:tcPr>
            <w:tcW w:w="2619" w:type="dxa"/>
            <w:tcBorders>
              <w:top w:val="single" w:color="auto" w:sz="4" w:space="0"/>
              <w:left w:val="single" w:color="auto" w:sz="4" w:space="0"/>
              <w:bottom w:val="single" w:color="auto" w:sz="4" w:space="0"/>
              <w:right w:val="single" w:color="auto" w:sz="4" w:space="0"/>
            </w:tcBorders>
            <w:shd w:val="clear" w:color="auto" w:fill="auto"/>
            <w:vAlign w:val="center"/>
          </w:tcPr>
          <w:p w14:paraId="033024FD">
            <w:pPr>
              <w:widowControl/>
              <w:snapToGrid w:val="0"/>
              <w:jc w:val="center"/>
              <w:rPr>
                <w:rFonts w:eastAsia="宋体"/>
                <w:kern w:val="0"/>
                <w:sz w:val="22"/>
                <w:szCs w:val="22"/>
                <w:highlight w:val="none"/>
              </w:rPr>
            </w:pPr>
            <w:r>
              <w:rPr>
                <w:rFonts w:eastAsia="宋体"/>
                <w:kern w:val="0"/>
                <w:sz w:val="22"/>
                <w:szCs w:val="22"/>
                <w:highlight w:val="none"/>
              </w:rPr>
              <w:t xml:space="preserve">46040 </w:t>
            </w:r>
          </w:p>
        </w:tc>
        <w:tc>
          <w:tcPr>
            <w:tcW w:w="2452" w:type="dxa"/>
            <w:tcBorders>
              <w:top w:val="single" w:color="auto" w:sz="4" w:space="0"/>
              <w:left w:val="nil"/>
              <w:bottom w:val="single" w:color="auto" w:sz="4" w:space="0"/>
              <w:right w:val="nil"/>
            </w:tcBorders>
            <w:shd w:val="clear" w:color="auto" w:fill="auto"/>
            <w:vAlign w:val="center"/>
          </w:tcPr>
          <w:p w14:paraId="363D9C0B">
            <w:pPr>
              <w:snapToGrid w:val="0"/>
              <w:jc w:val="center"/>
              <w:rPr>
                <w:sz w:val="22"/>
                <w:szCs w:val="22"/>
                <w:highlight w:val="none"/>
              </w:rPr>
            </w:pPr>
            <w:r>
              <w:rPr>
                <w:sz w:val="22"/>
                <w:szCs w:val="22"/>
                <w:highlight w:val="none"/>
              </w:rPr>
              <w:t xml:space="preserve">3.3 </w:t>
            </w:r>
          </w:p>
        </w:tc>
      </w:tr>
      <w:tr w14:paraId="5BED7021">
        <w:tblPrEx>
          <w:tblCellMar>
            <w:top w:w="0" w:type="dxa"/>
            <w:left w:w="108" w:type="dxa"/>
            <w:bottom w:w="0" w:type="dxa"/>
            <w:right w:w="108" w:type="dxa"/>
          </w:tblCellMar>
        </w:tblPrEx>
        <w:trPr>
          <w:trHeight w:val="459" w:hRule="atLeast"/>
          <w:jc w:val="center"/>
        </w:trPr>
        <w:tc>
          <w:tcPr>
            <w:tcW w:w="2898" w:type="dxa"/>
            <w:tcBorders>
              <w:top w:val="nil"/>
              <w:left w:val="nil"/>
              <w:bottom w:val="single" w:color="000000" w:sz="4" w:space="0"/>
              <w:right w:val="single" w:color="000000" w:sz="4" w:space="0"/>
            </w:tcBorders>
            <w:shd w:val="clear" w:color="auto" w:fill="auto"/>
            <w:vAlign w:val="center"/>
          </w:tcPr>
          <w:p w14:paraId="39FCD7E9">
            <w:pPr>
              <w:widowControl/>
              <w:snapToGrid w:val="0"/>
              <w:ind w:firstLine="118" w:firstLineChars="50"/>
              <w:rPr>
                <w:rFonts w:eastAsia="宋体"/>
                <w:kern w:val="0"/>
                <w:sz w:val="24"/>
                <w:highlight w:val="none"/>
              </w:rPr>
            </w:pPr>
            <w:r>
              <w:rPr>
                <w:rFonts w:eastAsia="宋体"/>
                <w:kern w:val="0"/>
                <w:sz w:val="24"/>
                <w:highlight w:val="none"/>
              </w:rPr>
              <w:t>食品烟酒</w:t>
            </w:r>
          </w:p>
        </w:tc>
        <w:tc>
          <w:tcPr>
            <w:tcW w:w="2619" w:type="dxa"/>
            <w:tcBorders>
              <w:top w:val="nil"/>
              <w:left w:val="single" w:color="auto" w:sz="4" w:space="0"/>
              <w:bottom w:val="single" w:color="auto" w:sz="4" w:space="0"/>
              <w:right w:val="single" w:color="auto" w:sz="4" w:space="0"/>
            </w:tcBorders>
            <w:shd w:val="clear" w:color="auto" w:fill="auto"/>
            <w:vAlign w:val="center"/>
          </w:tcPr>
          <w:p w14:paraId="0819EC72">
            <w:pPr>
              <w:snapToGrid w:val="0"/>
              <w:jc w:val="center"/>
              <w:rPr>
                <w:sz w:val="22"/>
                <w:szCs w:val="22"/>
                <w:highlight w:val="none"/>
              </w:rPr>
            </w:pPr>
            <w:r>
              <w:rPr>
                <w:sz w:val="22"/>
                <w:szCs w:val="22"/>
                <w:highlight w:val="none"/>
              </w:rPr>
              <w:t xml:space="preserve">11767 </w:t>
            </w:r>
          </w:p>
        </w:tc>
        <w:tc>
          <w:tcPr>
            <w:tcW w:w="2452" w:type="dxa"/>
            <w:tcBorders>
              <w:top w:val="nil"/>
              <w:left w:val="nil"/>
              <w:bottom w:val="single" w:color="auto" w:sz="4" w:space="0"/>
              <w:right w:val="nil"/>
            </w:tcBorders>
            <w:shd w:val="clear" w:color="auto" w:fill="auto"/>
            <w:vAlign w:val="center"/>
          </w:tcPr>
          <w:p w14:paraId="41F1A7E4">
            <w:pPr>
              <w:snapToGrid w:val="0"/>
              <w:jc w:val="center"/>
              <w:rPr>
                <w:sz w:val="22"/>
                <w:szCs w:val="22"/>
                <w:highlight w:val="none"/>
              </w:rPr>
            </w:pPr>
            <w:r>
              <w:rPr>
                <w:sz w:val="22"/>
                <w:szCs w:val="22"/>
                <w:highlight w:val="none"/>
              </w:rPr>
              <w:t xml:space="preserve">1.5 </w:t>
            </w:r>
          </w:p>
        </w:tc>
      </w:tr>
      <w:tr w14:paraId="09EA3032">
        <w:tblPrEx>
          <w:tblCellMar>
            <w:top w:w="0" w:type="dxa"/>
            <w:left w:w="108" w:type="dxa"/>
            <w:bottom w:w="0" w:type="dxa"/>
            <w:right w:w="108" w:type="dxa"/>
          </w:tblCellMar>
        </w:tblPrEx>
        <w:trPr>
          <w:trHeight w:val="459" w:hRule="atLeast"/>
          <w:jc w:val="center"/>
        </w:trPr>
        <w:tc>
          <w:tcPr>
            <w:tcW w:w="2898" w:type="dxa"/>
            <w:tcBorders>
              <w:top w:val="nil"/>
              <w:left w:val="nil"/>
              <w:bottom w:val="single" w:color="000000" w:sz="4" w:space="0"/>
              <w:right w:val="single" w:color="000000" w:sz="4" w:space="0"/>
            </w:tcBorders>
            <w:shd w:val="clear" w:color="auto" w:fill="auto"/>
            <w:vAlign w:val="center"/>
          </w:tcPr>
          <w:p w14:paraId="56CDE4FB">
            <w:pPr>
              <w:widowControl/>
              <w:snapToGrid w:val="0"/>
              <w:ind w:firstLine="118" w:firstLineChars="50"/>
              <w:rPr>
                <w:rFonts w:eastAsia="宋体"/>
                <w:kern w:val="0"/>
                <w:sz w:val="24"/>
                <w:highlight w:val="none"/>
              </w:rPr>
            </w:pPr>
            <w:r>
              <w:rPr>
                <w:rFonts w:eastAsia="宋体"/>
                <w:kern w:val="0"/>
                <w:sz w:val="24"/>
                <w:highlight w:val="none"/>
              </w:rPr>
              <w:t>衣着</w:t>
            </w:r>
          </w:p>
        </w:tc>
        <w:tc>
          <w:tcPr>
            <w:tcW w:w="2619" w:type="dxa"/>
            <w:tcBorders>
              <w:top w:val="nil"/>
              <w:left w:val="single" w:color="auto" w:sz="4" w:space="0"/>
              <w:bottom w:val="single" w:color="auto" w:sz="4" w:space="0"/>
              <w:right w:val="single" w:color="auto" w:sz="4" w:space="0"/>
            </w:tcBorders>
            <w:shd w:val="clear" w:color="auto" w:fill="auto"/>
            <w:vAlign w:val="center"/>
          </w:tcPr>
          <w:p w14:paraId="3072CBF3">
            <w:pPr>
              <w:snapToGrid w:val="0"/>
              <w:jc w:val="center"/>
              <w:rPr>
                <w:sz w:val="22"/>
                <w:szCs w:val="22"/>
                <w:highlight w:val="none"/>
              </w:rPr>
            </w:pPr>
            <w:r>
              <w:rPr>
                <w:sz w:val="22"/>
                <w:szCs w:val="22"/>
                <w:highlight w:val="none"/>
              </w:rPr>
              <w:t xml:space="preserve">2663 </w:t>
            </w:r>
          </w:p>
        </w:tc>
        <w:tc>
          <w:tcPr>
            <w:tcW w:w="2452" w:type="dxa"/>
            <w:tcBorders>
              <w:top w:val="nil"/>
              <w:left w:val="nil"/>
              <w:bottom w:val="single" w:color="auto" w:sz="4" w:space="0"/>
              <w:right w:val="nil"/>
            </w:tcBorders>
            <w:shd w:val="clear" w:color="auto" w:fill="auto"/>
            <w:vAlign w:val="center"/>
          </w:tcPr>
          <w:p w14:paraId="0F9457A9">
            <w:pPr>
              <w:snapToGrid w:val="0"/>
              <w:jc w:val="center"/>
              <w:rPr>
                <w:sz w:val="22"/>
                <w:szCs w:val="22"/>
                <w:highlight w:val="none"/>
              </w:rPr>
            </w:pPr>
            <w:r>
              <w:rPr>
                <w:sz w:val="22"/>
                <w:szCs w:val="22"/>
                <w:highlight w:val="none"/>
              </w:rPr>
              <w:t>-4.6</w:t>
            </w:r>
          </w:p>
        </w:tc>
      </w:tr>
      <w:tr w14:paraId="19A1E92F">
        <w:tblPrEx>
          <w:tblCellMar>
            <w:top w:w="0" w:type="dxa"/>
            <w:left w:w="108" w:type="dxa"/>
            <w:bottom w:w="0" w:type="dxa"/>
            <w:right w:w="108" w:type="dxa"/>
          </w:tblCellMar>
        </w:tblPrEx>
        <w:trPr>
          <w:trHeight w:val="459" w:hRule="atLeast"/>
          <w:jc w:val="center"/>
        </w:trPr>
        <w:tc>
          <w:tcPr>
            <w:tcW w:w="2898" w:type="dxa"/>
            <w:tcBorders>
              <w:top w:val="nil"/>
              <w:left w:val="nil"/>
              <w:bottom w:val="single" w:color="000000" w:sz="4" w:space="0"/>
              <w:right w:val="single" w:color="000000" w:sz="4" w:space="0"/>
            </w:tcBorders>
            <w:shd w:val="clear" w:color="auto" w:fill="auto"/>
            <w:vAlign w:val="center"/>
          </w:tcPr>
          <w:p w14:paraId="50E7C97F">
            <w:pPr>
              <w:widowControl/>
              <w:snapToGrid w:val="0"/>
              <w:ind w:firstLine="118" w:firstLineChars="50"/>
              <w:rPr>
                <w:rFonts w:eastAsia="宋体"/>
                <w:kern w:val="0"/>
                <w:sz w:val="24"/>
                <w:highlight w:val="none"/>
              </w:rPr>
            </w:pPr>
            <w:r>
              <w:rPr>
                <w:rFonts w:eastAsia="宋体"/>
                <w:kern w:val="0"/>
                <w:sz w:val="24"/>
                <w:highlight w:val="none"/>
              </w:rPr>
              <w:t>居住</w:t>
            </w:r>
          </w:p>
        </w:tc>
        <w:tc>
          <w:tcPr>
            <w:tcW w:w="2619" w:type="dxa"/>
            <w:tcBorders>
              <w:top w:val="nil"/>
              <w:left w:val="single" w:color="auto" w:sz="4" w:space="0"/>
              <w:bottom w:val="single" w:color="auto" w:sz="4" w:space="0"/>
              <w:right w:val="single" w:color="auto" w:sz="4" w:space="0"/>
            </w:tcBorders>
            <w:shd w:val="clear" w:color="auto" w:fill="auto"/>
            <w:vAlign w:val="center"/>
          </w:tcPr>
          <w:p w14:paraId="32C59C04">
            <w:pPr>
              <w:snapToGrid w:val="0"/>
              <w:jc w:val="center"/>
              <w:rPr>
                <w:sz w:val="22"/>
                <w:szCs w:val="22"/>
                <w:highlight w:val="none"/>
              </w:rPr>
            </w:pPr>
            <w:r>
              <w:rPr>
                <w:sz w:val="22"/>
                <w:szCs w:val="22"/>
                <w:highlight w:val="none"/>
              </w:rPr>
              <w:t xml:space="preserve">10415 </w:t>
            </w:r>
          </w:p>
        </w:tc>
        <w:tc>
          <w:tcPr>
            <w:tcW w:w="2452" w:type="dxa"/>
            <w:tcBorders>
              <w:top w:val="nil"/>
              <w:left w:val="nil"/>
              <w:bottom w:val="single" w:color="auto" w:sz="4" w:space="0"/>
              <w:right w:val="nil"/>
            </w:tcBorders>
            <w:shd w:val="clear" w:color="auto" w:fill="auto"/>
            <w:vAlign w:val="center"/>
          </w:tcPr>
          <w:p w14:paraId="27A8CEC8">
            <w:pPr>
              <w:snapToGrid w:val="0"/>
              <w:jc w:val="center"/>
              <w:rPr>
                <w:sz w:val="22"/>
                <w:szCs w:val="22"/>
                <w:highlight w:val="none"/>
              </w:rPr>
            </w:pPr>
            <w:r>
              <w:rPr>
                <w:sz w:val="22"/>
                <w:szCs w:val="22"/>
                <w:highlight w:val="none"/>
              </w:rPr>
              <w:t>3.8</w:t>
            </w:r>
          </w:p>
        </w:tc>
      </w:tr>
      <w:tr w14:paraId="6ECCD853">
        <w:tblPrEx>
          <w:tblCellMar>
            <w:top w:w="0" w:type="dxa"/>
            <w:left w:w="108" w:type="dxa"/>
            <w:bottom w:w="0" w:type="dxa"/>
            <w:right w:w="108" w:type="dxa"/>
          </w:tblCellMar>
        </w:tblPrEx>
        <w:trPr>
          <w:trHeight w:val="459" w:hRule="atLeast"/>
          <w:jc w:val="center"/>
        </w:trPr>
        <w:tc>
          <w:tcPr>
            <w:tcW w:w="2898" w:type="dxa"/>
            <w:tcBorders>
              <w:top w:val="nil"/>
              <w:left w:val="nil"/>
              <w:bottom w:val="single" w:color="000000" w:sz="4" w:space="0"/>
              <w:right w:val="single" w:color="000000" w:sz="4" w:space="0"/>
            </w:tcBorders>
            <w:shd w:val="clear" w:color="auto" w:fill="auto"/>
            <w:vAlign w:val="center"/>
          </w:tcPr>
          <w:p w14:paraId="1EE56D46">
            <w:pPr>
              <w:widowControl/>
              <w:snapToGrid w:val="0"/>
              <w:ind w:firstLine="118" w:firstLineChars="50"/>
              <w:rPr>
                <w:rFonts w:eastAsia="宋体"/>
                <w:kern w:val="0"/>
                <w:sz w:val="24"/>
                <w:highlight w:val="none"/>
              </w:rPr>
            </w:pPr>
            <w:r>
              <w:rPr>
                <w:rFonts w:eastAsia="宋体"/>
                <w:kern w:val="0"/>
                <w:sz w:val="24"/>
                <w:highlight w:val="none"/>
              </w:rPr>
              <w:t>生活用品及服务</w:t>
            </w:r>
          </w:p>
        </w:tc>
        <w:tc>
          <w:tcPr>
            <w:tcW w:w="2619" w:type="dxa"/>
            <w:tcBorders>
              <w:top w:val="nil"/>
              <w:left w:val="single" w:color="auto" w:sz="4" w:space="0"/>
              <w:bottom w:val="single" w:color="auto" w:sz="4" w:space="0"/>
              <w:right w:val="single" w:color="auto" w:sz="4" w:space="0"/>
            </w:tcBorders>
            <w:shd w:val="clear" w:color="auto" w:fill="auto"/>
            <w:vAlign w:val="center"/>
          </w:tcPr>
          <w:p w14:paraId="3874B1A7">
            <w:pPr>
              <w:snapToGrid w:val="0"/>
              <w:jc w:val="center"/>
              <w:rPr>
                <w:sz w:val="22"/>
                <w:szCs w:val="22"/>
                <w:highlight w:val="none"/>
              </w:rPr>
            </w:pPr>
            <w:r>
              <w:rPr>
                <w:sz w:val="22"/>
                <w:szCs w:val="22"/>
                <w:highlight w:val="none"/>
              </w:rPr>
              <w:t xml:space="preserve">2781 </w:t>
            </w:r>
          </w:p>
        </w:tc>
        <w:tc>
          <w:tcPr>
            <w:tcW w:w="2452" w:type="dxa"/>
            <w:tcBorders>
              <w:top w:val="nil"/>
              <w:left w:val="nil"/>
              <w:bottom w:val="single" w:color="auto" w:sz="4" w:space="0"/>
              <w:right w:val="nil"/>
            </w:tcBorders>
            <w:shd w:val="clear" w:color="auto" w:fill="auto"/>
            <w:vAlign w:val="center"/>
          </w:tcPr>
          <w:p w14:paraId="69E9B80F">
            <w:pPr>
              <w:snapToGrid w:val="0"/>
              <w:jc w:val="center"/>
              <w:rPr>
                <w:sz w:val="22"/>
                <w:szCs w:val="22"/>
                <w:highlight w:val="none"/>
              </w:rPr>
            </w:pPr>
            <w:r>
              <w:rPr>
                <w:sz w:val="22"/>
                <w:szCs w:val="22"/>
                <w:highlight w:val="none"/>
              </w:rPr>
              <w:t>2.2</w:t>
            </w:r>
          </w:p>
        </w:tc>
      </w:tr>
      <w:tr w14:paraId="6E23346D">
        <w:tblPrEx>
          <w:tblCellMar>
            <w:top w:w="0" w:type="dxa"/>
            <w:left w:w="108" w:type="dxa"/>
            <w:bottom w:w="0" w:type="dxa"/>
            <w:right w:w="108" w:type="dxa"/>
          </w:tblCellMar>
        </w:tblPrEx>
        <w:trPr>
          <w:trHeight w:val="459" w:hRule="atLeast"/>
          <w:jc w:val="center"/>
        </w:trPr>
        <w:tc>
          <w:tcPr>
            <w:tcW w:w="2898" w:type="dxa"/>
            <w:tcBorders>
              <w:top w:val="nil"/>
              <w:left w:val="nil"/>
              <w:bottom w:val="single" w:color="000000" w:sz="4" w:space="0"/>
              <w:right w:val="single" w:color="000000" w:sz="4" w:space="0"/>
            </w:tcBorders>
            <w:shd w:val="clear" w:color="auto" w:fill="auto"/>
            <w:vAlign w:val="center"/>
          </w:tcPr>
          <w:p w14:paraId="24FDCB27">
            <w:pPr>
              <w:widowControl/>
              <w:snapToGrid w:val="0"/>
              <w:ind w:firstLine="118" w:firstLineChars="50"/>
              <w:rPr>
                <w:rFonts w:eastAsia="宋体"/>
                <w:kern w:val="0"/>
                <w:sz w:val="24"/>
                <w:highlight w:val="none"/>
              </w:rPr>
            </w:pPr>
            <w:r>
              <w:rPr>
                <w:rFonts w:eastAsia="宋体"/>
                <w:kern w:val="0"/>
                <w:sz w:val="24"/>
                <w:highlight w:val="none"/>
              </w:rPr>
              <w:t>交通通信</w:t>
            </w:r>
          </w:p>
        </w:tc>
        <w:tc>
          <w:tcPr>
            <w:tcW w:w="2619" w:type="dxa"/>
            <w:tcBorders>
              <w:top w:val="nil"/>
              <w:left w:val="single" w:color="auto" w:sz="4" w:space="0"/>
              <w:bottom w:val="single" w:color="auto" w:sz="4" w:space="0"/>
              <w:right w:val="single" w:color="auto" w:sz="4" w:space="0"/>
            </w:tcBorders>
            <w:shd w:val="clear" w:color="auto" w:fill="auto"/>
            <w:vAlign w:val="center"/>
          </w:tcPr>
          <w:p w14:paraId="042E4EE0">
            <w:pPr>
              <w:snapToGrid w:val="0"/>
              <w:jc w:val="center"/>
              <w:rPr>
                <w:sz w:val="22"/>
                <w:szCs w:val="22"/>
                <w:highlight w:val="none"/>
              </w:rPr>
            </w:pPr>
            <w:r>
              <w:rPr>
                <w:sz w:val="22"/>
                <w:szCs w:val="22"/>
                <w:highlight w:val="none"/>
              </w:rPr>
              <w:t xml:space="preserve">6542 </w:t>
            </w:r>
          </w:p>
        </w:tc>
        <w:tc>
          <w:tcPr>
            <w:tcW w:w="2452" w:type="dxa"/>
            <w:tcBorders>
              <w:top w:val="nil"/>
              <w:left w:val="nil"/>
              <w:bottom w:val="single" w:color="auto" w:sz="4" w:space="0"/>
              <w:right w:val="nil"/>
            </w:tcBorders>
            <w:shd w:val="clear" w:color="auto" w:fill="auto"/>
            <w:vAlign w:val="center"/>
          </w:tcPr>
          <w:p w14:paraId="6DA37960">
            <w:pPr>
              <w:snapToGrid w:val="0"/>
              <w:jc w:val="center"/>
              <w:rPr>
                <w:sz w:val="22"/>
                <w:szCs w:val="22"/>
                <w:highlight w:val="none"/>
              </w:rPr>
            </w:pPr>
            <w:r>
              <w:rPr>
                <w:sz w:val="22"/>
                <w:szCs w:val="22"/>
                <w:highlight w:val="none"/>
              </w:rPr>
              <w:t>4.3</w:t>
            </w:r>
          </w:p>
        </w:tc>
      </w:tr>
      <w:tr w14:paraId="3EF5C0BC">
        <w:tblPrEx>
          <w:tblCellMar>
            <w:top w:w="0" w:type="dxa"/>
            <w:left w:w="108" w:type="dxa"/>
            <w:bottom w:w="0" w:type="dxa"/>
            <w:right w:w="108" w:type="dxa"/>
          </w:tblCellMar>
        </w:tblPrEx>
        <w:trPr>
          <w:trHeight w:val="459" w:hRule="atLeast"/>
          <w:jc w:val="center"/>
        </w:trPr>
        <w:tc>
          <w:tcPr>
            <w:tcW w:w="2898" w:type="dxa"/>
            <w:tcBorders>
              <w:top w:val="nil"/>
              <w:left w:val="nil"/>
              <w:bottom w:val="single" w:color="000000" w:sz="4" w:space="0"/>
              <w:right w:val="single" w:color="000000" w:sz="4" w:space="0"/>
            </w:tcBorders>
            <w:shd w:val="clear" w:color="auto" w:fill="auto"/>
            <w:vAlign w:val="center"/>
          </w:tcPr>
          <w:p w14:paraId="4C0A0DBD">
            <w:pPr>
              <w:widowControl/>
              <w:snapToGrid w:val="0"/>
              <w:ind w:firstLine="118" w:firstLineChars="50"/>
              <w:rPr>
                <w:rFonts w:eastAsia="宋体"/>
                <w:kern w:val="0"/>
                <w:sz w:val="24"/>
                <w:highlight w:val="none"/>
              </w:rPr>
            </w:pPr>
            <w:r>
              <w:rPr>
                <w:rFonts w:eastAsia="宋体"/>
                <w:kern w:val="0"/>
                <w:sz w:val="24"/>
                <w:highlight w:val="none"/>
              </w:rPr>
              <w:t>教育文化娱乐</w:t>
            </w:r>
          </w:p>
        </w:tc>
        <w:tc>
          <w:tcPr>
            <w:tcW w:w="2619" w:type="dxa"/>
            <w:tcBorders>
              <w:top w:val="nil"/>
              <w:left w:val="single" w:color="auto" w:sz="4" w:space="0"/>
              <w:bottom w:val="single" w:color="auto" w:sz="4" w:space="0"/>
              <w:right w:val="single" w:color="auto" w:sz="4" w:space="0"/>
            </w:tcBorders>
            <w:shd w:val="clear" w:color="auto" w:fill="auto"/>
            <w:vAlign w:val="center"/>
          </w:tcPr>
          <w:p w14:paraId="777E5187">
            <w:pPr>
              <w:snapToGrid w:val="0"/>
              <w:jc w:val="center"/>
              <w:rPr>
                <w:sz w:val="22"/>
                <w:szCs w:val="22"/>
                <w:highlight w:val="none"/>
              </w:rPr>
            </w:pPr>
            <w:r>
              <w:rPr>
                <w:sz w:val="22"/>
                <w:szCs w:val="22"/>
                <w:highlight w:val="none"/>
              </w:rPr>
              <w:t xml:space="preserve">7052 </w:t>
            </w:r>
          </w:p>
        </w:tc>
        <w:tc>
          <w:tcPr>
            <w:tcW w:w="2452" w:type="dxa"/>
            <w:tcBorders>
              <w:top w:val="nil"/>
              <w:left w:val="nil"/>
              <w:bottom w:val="single" w:color="auto" w:sz="4" w:space="0"/>
              <w:right w:val="nil"/>
            </w:tcBorders>
            <w:shd w:val="clear" w:color="auto" w:fill="auto"/>
            <w:vAlign w:val="center"/>
          </w:tcPr>
          <w:p w14:paraId="60B3B78B">
            <w:pPr>
              <w:snapToGrid w:val="0"/>
              <w:jc w:val="center"/>
              <w:rPr>
                <w:sz w:val="22"/>
                <w:szCs w:val="22"/>
                <w:highlight w:val="none"/>
              </w:rPr>
            </w:pPr>
            <w:r>
              <w:rPr>
                <w:sz w:val="22"/>
                <w:szCs w:val="22"/>
                <w:highlight w:val="none"/>
              </w:rPr>
              <w:t>3.6</w:t>
            </w:r>
          </w:p>
        </w:tc>
      </w:tr>
      <w:tr w14:paraId="094157EE">
        <w:tblPrEx>
          <w:tblCellMar>
            <w:top w:w="0" w:type="dxa"/>
            <w:left w:w="108" w:type="dxa"/>
            <w:bottom w:w="0" w:type="dxa"/>
            <w:right w:w="108" w:type="dxa"/>
          </w:tblCellMar>
        </w:tblPrEx>
        <w:trPr>
          <w:trHeight w:val="459" w:hRule="atLeast"/>
          <w:jc w:val="center"/>
        </w:trPr>
        <w:tc>
          <w:tcPr>
            <w:tcW w:w="2898" w:type="dxa"/>
            <w:tcBorders>
              <w:top w:val="nil"/>
              <w:left w:val="nil"/>
              <w:bottom w:val="single" w:color="000000" w:sz="4" w:space="0"/>
              <w:right w:val="single" w:color="000000" w:sz="4" w:space="0"/>
            </w:tcBorders>
            <w:shd w:val="clear" w:color="auto" w:fill="auto"/>
            <w:vAlign w:val="center"/>
          </w:tcPr>
          <w:p w14:paraId="01FC7528">
            <w:pPr>
              <w:widowControl/>
              <w:snapToGrid w:val="0"/>
              <w:ind w:firstLine="118" w:firstLineChars="50"/>
              <w:rPr>
                <w:rFonts w:eastAsia="宋体"/>
                <w:kern w:val="0"/>
                <w:sz w:val="24"/>
                <w:highlight w:val="none"/>
              </w:rPr>
            </w:pPr>
            <w:r>
              <w:rPr>
                <w:rFonts w:eastAsia="宋体"/>
                <w:kern w:val="0"/>
                <w:sz w:val="24"/>
                <w:highlight w:val="none"/>
              </w:rPr>
              <w:t>医疗保健</w:t>
            </w:r>
          </w:p>
        </w:tc>
        <w:tc>
          <w:tcPr>
            <w:tcW w:w="2619" w:type="dxa"/>
            <w:tcBorders>
              <w:top w:val="nil"/>
              <w:left w:val="single" w:color="auto" w:sz="4" w:space="0"/>
              <w:bottom w:val="single" w:color="auto" w:sz="4" w:space="0"/>
              <w:right w:val="single" w:color="auto" w:sz="4" w:space="0"/>
            </w:tcBorders>
            <w:shd w:val="clear" w:color="auto" w:fill="auto"/>
            <w:vAlign w:val="center"/>
          </w:tcPr>
          <w:p w14:paraId="4CDCF396">
            <w:pPr>
              <w:snapToGrid w:val="0"/>
              <w:jc w:val="center"/>
              <w:rPr>
                <w:sz w:val="22"/>
                <w:szCs w:val="22"/>
                <w:highlight w:val="none"/>
              </w:rPr>
            </w:pPr>
            <w:r>
              <w:rPr>
                <w:sz w:val="22"/>
                <w:szCs w:val="22"/>
                <w:highlight w:val="none"/>
              </w:rPr>
              <w:t xml:space="preserve">3164 </w:t>
            </w:r>
          </w:p>
        </w:tc>
        <w:tc>
          <w:tcPr>
            <w:tcW w:w="2452" w:type="dxa"/>
            <w:tcBorders>
              <w:top w:val="nil"/>
              <w:left w:val="nil"/>
              <w:bottom w:val="single" w:color="auto" w:sz="4" w:space="0"/>
              <w:right w:val="nil"/>
            </w:tcBorders>
            <w:shd w:val="clear" w:color="auto" w:fill="auto"/>
            <w:vAlign w:val="center"/>
          </w:tcPr>
          <w:p w14:paraId="7F1FF73B">
            <w:pPr>
              <w:snapToGrid w:val="0"/>
              <w:jc w:val="center"/>
              <w:rPr>
                <w:sz w:val="22"/>
                <w:szCs w:val="22"/>
                <w:highlight w:val="none"/>
              </w:rPr>
            </w:pPr>
            <w:r>
              <w:rPr>
                <w:sz w:val="22"/>
                <w:szCs w:val="22"/>
                <w:highlight w:val="none"/>
              </w:rPr>
              <w:t>10.6</w:t>
            </w:r>
          </w:p>
        </w:tc>
      </w:tr>
      <w:tr w14:paraId="5F8B3A7D">
        <w:tblPrEx>
          <w:tblCellMar>
            <w:top w:w="0" w:type="dxa"/>
            <w:left w:w="108" w:type="dxa"/>
            <w:bottom w:w="0" w:type="dxa"/>
            <w:right w:w="108" w:type="dxa"/>
          </w:tblCellMar>
        </w:tblPrEx>
        <w:trPr>
          <w:trHeight w:val="459" w:hRule="atLeast"/>
          <w:jc w:val="center"/>
        </w:trPr>
        <w:tc>
          <w:tcPr>
            <w:tcW w:w="2898" w:type="dxa"/>
            <w:tcBorders>
              <w:top w:val="nil"/>
              <w:left w:val="nil"/>
              <w:bottom w:val="single" w:color="000000" w:sz="4" w:space="0"/>
              <w:right w:val="single" w:color="000000" w:sz="4" w:space="0"/>
            </w:tcBorders>
            <w:shd w:val="clear" w:color="auto" w:fill="auto"/>
            <w:vAlign w:val="center"/>
          </w:tcPr>
          <w:p w14:paraId="0DF1C626">
            <w:pPr>
              <w:widowControl/>
              <w:snapToGrid w:val="0"/>
              <w:ind w:firstLine="118" w:firstLineChars="50"/>
              <w:rPr>
                <w:rFonts w:eastAsia="宋体"/>
                <w:kern w:val="0"/>
                <w:sz w:val="24"/>
                <w:highlight w:val="none"/>
              </w:rPr>
            </w:pPr>
            <w:r>
              <w:rPr>
                <w:rFonts w:eastAsia="宋体"/>
                <w:kern w:val="0"/>
                <w:sz w:val="24"/>
                <w:highlight w:val="none"/>
              </w:rPr>
              <w:t>其他用品及服务</w:t>
            </w:r>
          </w:p>
        </w:tc>
        <w:tc>
          <w:tcPr>
            <w:tcW w:w="2619" w:type="dxa"/>
            <w:tcBorders>
              <w:top w:val="nil"/>
              <w:left w:val="single" w:color="auto" w:sz="4" w:space="0"/>
              <w:bottom w:val="single" w:color="auto" w:sz="4" w:space="0"/>
              <w:right w:val="single" w:color="auto" w:sz="4" w:space="0"/>
            </w:tcBorders>
            <w:shd w:val="clear" w:color="auto" w:fill="auto"/>
            <w:vAlign w:val="center"/>
          </w:tcPr>
          <w:p w14:paraId="210AE2F1">
            <w:pPr>
              <w:snapToGrid w:val="0"/>
              <w:jc w:val="center"/>
              <w:rPr>
                <w:sz w:val="22"/>
                <w:szCs w:val="22"/>
                <w:highlight w:val="none"/>
              </w:rPr>
            </w:pPr>
            <w:r>
              <w:rPr>
                <w:sz w:val="22"/>
                <w:szCs w:val="22"/>
                <w:highlight w:val="none"/>
              </w:rPr>
              <w:t xml:space="preserve">1656 </w:t>
            </w:r>
          </w:p>
        </w:tc>
        <w:tc>
          <w:tcPr>
            <w:tcW w:w="2452" w:type="dxa"/>
            <w:tcBorders>
              <w:top w:val="nil"/>
              <w:left w:val="nil"/>
              <w:bottom w:val="single" w:color="auto" w:sz="4" w:space="0"/>
              <w:right w:val="nil"/>
            </w:tcBorders>
            <w:shd w:val="clear" w:color="auto" w:fill="auto"/>
            <w:vAlign w:val="center"/>
          </w:tcPr>
          <w:p w14:paraId="69444186">
            <w:pPr>
              <w:snapToGrid w:val="0"/>
              <w:jc w:val="center"/>
              <w:rPr>
                <w:sz w:val="22"/>
                <w:szCs w:val="22"/>
                <w:highlight w:val="none"/>
              </w:rPr>
            </w:pPr>
            <w:r>
              <w:rPr>
                <w:sz w:val="22"/>
                <w:szCs w:val="22"/>
                <w:highlight w:val="none"/>
              </w:rPr>
              <w:t>10.1</w:t>
            </w:r>
          </w:p>
        </w:tc>
      </w:tr>
    </w:tbl>
    <w:p w14:paraId="258044BF">
      <w:pPr>
        <w:pStyle w:val="6"/>
        <w:widowControl/>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年末城镇职工基本养老保险参保人数400.53万人，失业保险参保人数344.29万人，工伤保险参保人数388.16万人。年末全市共有3.97万人享受最低生活保障，其中城市1.73万人，农村2.24万人，城乡低保标准统一增至每月1115元。</w:t>
      </w:r>
    </w:p>
    <w:p w14:paraId="7C2BB69A">
      <w:pPr>
        <w:pStyle w:val="6"/>
        <w:widowControl/>
        <w:shd w:val="clear" w:color="auto" w:fill="FFFFFF"/>
        <w:adjustRightInd w:val="0"/>
        <w:snapToGrid w:val="0"/>
        <w:spacing w:before="0" w:beforeAutospacing="0" w:after="0" w:afterAutospacing="0" w:line="560" w:lineRule="exact"/>
        <w:ind w:firstLine="632" w:firstLineChars="200"/>
        <w:jc w:val="both"/>
        <w:rPr>
          <w:rStyle w:val="9"/>
          <w:rFonts w:ascii="Times New Roman" w:hAnsi="Times New Roman" w:eastAsia="黑体"/>
          <w:b w:val="0"/>
          <w:sz w:val="32"/>
          <w:szCs w:val="32"/>
          <w:highlight w:val="none"/>
        </w:rPr>
      </w:pPr>
      <w:r>
        <w:rPr>
          <w:rStyle w:val="9"/>
          <w:rFonts w:ascii="Times New Roman" w:hAnsi="Times New Roman" w:eastAsia="黑体"/>
          <w:b w:val="0"/>
          <w:sz w:val="32"/>
          <w:szCs w:val="32"/>
          <w:highlight w:val="none"/>
        </w:rPr>
        <w:t>十、科学技术和教育</w:t>
      </w:r>
    </w:p>
    <w:p w14:paraId="367C3D32">
      <w:pPr>
        <w:adjustRightInd w:val="0"/>
        <w:snapToGrid w:val="0"/>
        <w:spacing w:line="560" w:lineRule="exact"/>
        <w:ind w:firstLine="632" w:firstLineChars="200"/>
        <w:rPr>
          <w:highlight w:val="none"/>
        </w:rPr>
      </w:pPr>
      <w:r>
        <w:rPr>
          <w:rFonts w:eastAsia="仿宋_GB2312"/>
          <w:szCs w:val="32"/>
          <w:highlight w:val="none"/>
          <w:shd w:val="clear" w:color="auto" w:fill="FFFFFF"/>
        </w:rPr>
        <w:t>全市</w:t>
      </w:r>
      <w:r>
        <w:rPr>
          <w:rFonts w:eastAsia="仿宋_GB2312"/>
          <w:szCs w:val="32"/>
          <w:highlight w:val="none"/>
        </w:rPr>
        <w:t>拥有省级以上工程技术研究中心618家，其中国家级15家。累计建成并投入使用城市硅巷302.65万平方米，入驻企业4700余家。入库科技型中小企业2.3</w:t>
      </w:r>
      <w:r>
        <w:rPr>
          <w:rFonts w:hint="eastAsia" w:eastAsia="仿宋_GB2312"/>
          <w:szCs w:val="32"/>
          <w:highlight w:val="none"/>
        </w:rPr>
        <w:t>8</w:t>
      </w:r>
      <w:r>
        <w:rPr>
          <w:rFonts w:eastAsia="仿宋_GB2312"/>
          <w:szCs w:val="32"/>
          <w:highlight w:val="none"/>
        </w:rPr>
        <w:t>万家。</w:t>
      </w:r>
    </w:p>
    <w:p w14:paraId="62CF5A2C">
      <w:pPr>
        <w:ind w:firstLine="632" w:firstLineChars="200"/>
        <w:rPr>
          <w:rFonts w:eastAsia="仿宋_GB2312"/>
          <w:szCs w:val="32"/>
          <w:highlight w:val="none"/>
          <w:shd w:val="clear" w:color="auto" w:fill="FFFFFF"/>
        </w:rPr>
      </w:pPr>
      <w:r>
        <w:rPr>
          <w:rFonts w:eastAsia="仿宋_GB2312"/>
          <w:bCs/>
          <w:szCs w:val="32"/>
          <w:highlight w:val="none"/>
          <w:shd w:val="clear" w:color="auto" w:fill="FFFFFF"/>
        </w:rPr>
        <w:t>全年全市专利授权量58938件，其中发明专利授权量31109件。拥有有效发明专利179291件，比上年增长13.1%，万人有效发明专利拥有量达187.21件。全年全市认定登记技术合同43885份，技术合同成交额1097.72亿元，增长2.1%。</w:t>
      </w:r>
      <w:r>
        <w:rPr>
          <w:rFonts w:eastAsia="仿宋_GB2312"/>
          <w:szCs w:val="32"/>
          <w:highlight w:val="none"/>
          <w:shd w:val="clear" w:color="auto" w:fill="FFFFFF"/>
        </w:rPr>
        <w:t>紫金山实验室公开发布了全球首个6G通智感融合外场试验网，中国科学院工业人工智能研究所获批正式揭牌。</w:t>
      </w:r>
    </w:p>
    <w:p w14:paraId="17B655CB">
      <w:pPr>
        <w:ind w:firstLine="632" w:firstLineChars="200"/>
        <w:rPr>
          <w:rFonts w:eastAsia="仿宋_GB2312"/>
          <w:szCs w:val="32"/>
          <w:highlight w:val="none"/>
        </w:rPr>
      </w:pPr>
      <w:r>
        <w:rPr>
          <w:rFonts w:eastAsia="仿宋_GB2312"/>
          <w:szCs w:val="32"/>
          <w:highlight w:val="none"/>
        </w:rPr>
        <w:t>全市在宁普通高等学校54所（不含部队院校），在校学生（不含研究生）86.87万人，比上年增加3.44万人。在宁高校及研究生培养机构在学研究生23.01万人，比上年增加1.02万人。全市普通中学290所，在校学生36.83万人，比上年增加2.44万人；中等职业学校22所，在校学生6.47万人；特殊教育学校15所，在校生0.26万人；小学400所，在校学生57.65万人；幼儿园959所，在园儿童20.19万人。全市义务教育学校标准化达标率达100%。</w:t>
      </w:r>
    </w:p>
    <w:p w14:paraId="625D2EEA">
      <w:pPr>
        <w:adjustRightInd w:val="0"/>
        <w:snapToGrid w:val="0"/>
        <w:spacing w:line="560" w:lineRule="exact"/>
        <w:ind w:firstLine="632" w:firstLineChars="200"/>
        <w:rPr>
          <w:rFonts w:eastAsia="黑体"/>
          <w:b/>
          <w:szCs w:val="32"/>
          <w:highlight w:val="none"/>
        </w:rPr>
      </w:pPr>
      <w:r>
        <w:rPr>
          <w:rStyle w:val="9"/>
          <w:rFonts w:eastAsia="黑体"/>
          <w:b w:val="0"/>
          <w:szCs w:val="32"/>
          <w:highlight w:val="none"/>
        </w:rPr>
        <w:t>十一、文化、卫生和体育</w:t>
      </w:r>
    </w:p>
    <w:p w14:paraId="7A5809A6">
      <w:pPr>
        <w:ind w:firstLine="632" w:firstLineChars="200"/>
        <w:rPr>
          <w:rFonts w:eastAsia="仿宋_GB2312"/>
          <w:bCs/>
          <w:szCs w:val="32"/>
          <w:highlight w:val="none"/>
          <w:shd w:val="clear" w:color="auto" w:fill="FFFFFF"/>
        </w:rPr>
      </w:pPr>
      <w:r>
        <w:rPr>
          <w:rFonts w:eastAsia="仿宋_GB2312"/>
          <w:bCs/>
          <w:szCs w:val="32"/>
          <w:highlight w:val="none"/>
          <w:shd w:val="clear" w:color="auto" w:fill="FFFFFF"/>
        </w:rPr>
        <w:t>全市共有市级以上文化产业园区（基地）181个，其中国家级18个，省级34个，市级181个。年末全市共有文化馆14个（含省级1个），公共图书馆15个（含省级1个），文化站101个，博物馆70个（含省本级），市级以上文物保护单位669处745点。</w:t>
      </w:r>
    </w:p>
    <w:p w14:paraId="33D25038">
      <w:pPr>
        <w:ind w:firstLine="632" w:firstLineChars="200"/>
        <w:rPr>
          <w:rFonts w:eastAsia="仿宋_GB2312"/>
          <w:bCs/>
          <w:szCs w:val="32"/>
          <w:highlight w:val="none"/>
          <w:shd w:val="clear" w:color="auto" w:fill="FFFFFF"/>
        </w:rPr>
      </w:pPr>
      <w:r>
        <w:rPr>
          <w:rFonts w:hint="eastAsia" w:eastAsia="仿宋_GB2312"/>
          <w:bCs/>
          <w:szCs w:val="32"/>
          <w:highlight w:val="none"/>
          <w:shd w:val="clear" w:color="auto" w:fill="FFFFFF"/>
        </w:rPr>
        <w:t>全市综合医改工作持续深化，成功入选第四批中央财政支持公立医院改革与高质量发展示范项目。高水平医院建设成果丰硕，新增</w:t>
      </w:r>
      <w:r>
        <w:rPr>
          <w:rFonts w:eastAsia="仿宋_GB2312"/>
          <w:bCs/>
          <w:szCs w:val="32"/>
          <w:highlight w:val="none"/>
          <w:shd w:val="clear" w:color="auto" w:fill="FFFFFF"/>
        </w:rPr>
        <w:t>3</w:t>
      </w:r>
      <w:r>
        <w:rPr>
          <w:rFonts w:hint="eastAsia" w:eastAsia="仿宋_GB2312"/>
          <w:bCs/>
          <w:szCs w:val="32"/>
          <w:highlight w:val="none"/>
          <w:shd w:val="clear" w:color="auto" w:fill="FFFFFF"/>
        </w:rPr>
        <w:t>个国家临床重点专科建设项目，脑科医院建成全球最大抑郁症脑磁图队列，市第二医院建成国内最大疑难肝病病例库。强化重点人群健康保障，全面提升“一老一小”健康服务水平，新增21个省级社区普惠托育点，户籍人口人均预期寿命首次突破8</w:t>
      </w:r>
      <w:r>
        <w:rPr>
          <w:rFonts w:eastAsia="仿宋_GB2312"/>
          <w:bCs/>
          <w:szCs w:val="32"/>
          <w:highlight w:val="none"/>
          <w:shd w:val="clear" w:color="auto" w:fill="FFFFFF"/>
        </w:rPr>
        <w:t>5</w:t>
      </w:r>
      <w:r>
        <w:rPr>
          <w:rFonts w:hint="eastAsia" w:eastAsia="仿宋_GB2312"/>
          <w:bCs/>
          <w:szCs w:val="32"/>
          <w:highlight w:val="none"/>
          <w:shd w:val="clear" w:color="auto" w:fill="FFFFFF"/>
        </w:rPr>
        <w:t>岁。</w:t>
      </w:r>
    </w:p>
    <w:p w14:paraId="71A0D14E">
      <w:pPr>
        <w:adjustRightInd w:val="0"/>
        <w:snapToGrid w:val="0"/>
        <w:spacing w:line="560" w:lineRule="exact"/>
        <w:ind w:firstLine="632" w:firstLineChars="200"/>
        <w:rPr>
          <w:rFonts w:eastAsia="仿宋_GB2312"/>
          <w:bCs/>
          <w:szCs w:val="32"/>
          <w:highlight w:val="none"/>
        </w:rPr>
      </w:pPr>
      <w:r>
        <w:rPr>
          <w:rFonts w:eastAsia="仿宋_GB2312"/>
          <w:bCs/>
          <w:szCs w:val="32"/>
          <w:highlight w:val="none"/>
          <w:shd w:val="clear" w:color="auto" w:fill="FFFFFF"/>
        </w:rPr>
        <w:t>成功举办世界田联室内锦标赛、射箭世界杯总决赛等9项国际赛事。南京奥体中心苏超联赛单场最高上座62329人，创下中国业余足球赛事观赛记录。南京健儿在第十五届全运会中获18金13银16铜，金牌和奖牌数全省第一。青奥滨江入选全国首批高质量户外运动目的地建设名单。</w:t>
      </w:r>
    </w:p>
    <w:p w14:paraId="6D303835">
      <w:pPr>
        <w:pStyle w:val="6"/>
        <w:widowControl/>
        <w:shd w:val="clear" w:color="auto" w:fill="FFFFFF"/>
        <w:adjustRightInd w:val="0"/>
        <w:snapToGrid w:val="0"/>
        <w:spacing w:before="0" w:beforeAutospacing="0" w:after="0" w:afterAutospacing="0" w:line="560" w:lineRule="exact"/>
        <w:ind w:firstLine="632" w:firstLineChars="200"/>
        <w:jc w:val="both"/>
        <w:rPr>
          <w:rFonts w:ascii="Times New Roman" w:hAnsi="Times New Roman" w:eastAsia="黑体"/>
          <w:sz w:val="32"/>
          <w:szCs w:val="32"/>
          <w:highlight w:val="none"/>
        </w:rPr>
      </w:pPr>
      <w:r>
        <w:rPr>
          <w:rFonts w:ascii="Times New Roman" w:hAnsi="Times New Roman" w:eastAsia="黑体"/>
          <w:sz w:val="32"/>
          <w:szCs w:val="32"/>
          <w:highlight w:val="none"/>
          <w:shd w:val="clear" w:color="auto" w:fill="FFFFFF"/>
        </w:rPr>
        <w:t>十二、资源、环境和城市面貌</w:t>
      </w:r>
    </w:p>
    <w:p w14:paraId="06F54294">
      <w:pPr>
        <w:adjustRightInd w:val="0"/>
        <w:snapToGrid w:val="0"/>
        <w:spacing w:line="560" w:lineRule="exact"/>
        <w:ind w:firstLine="632" w:firstLineChars="200"/>
        <w:rPr>
          <w:rFonts w:eastAsia="仿宋_GB2312"/>
          <w:szCs w:val="32"/>
          <w:highlight w:val="none"/>
        </w:rPr>
      </w:pPr>
      <w:r>
        <w:rPr>
          <w:rFonts w:eastAsia="仿宋_GB2312"/>
          <w:szCs w:val="32"/>
          <w:highlight w:val="none"/>
        </w:rPr>
        <w:t>全年全社会用电量823.78亿千瓦时，比上年增长2.6%。规模以上工业综合能源消费量3801.09万吨标煤，比上年下降3.3%。</w:t>
      </w:r>
    </w:p>
    <w:p w14:paraId="52D72700">
      <w:pPr>
        <w:adjustRightInd w:val="0"/>
        <w:snapToGrid w:val="0"/>
        <w:spacing w:line="560" w:lineRule="exact"/>
        <w:ind w:firstLine="632" w:firstLineChars="200"/>
        <w:rPr>
          <w:rFonts w:eastAsia="仿宋_GB2312"/>
          <w:kern w:val="32"/>
          <w:szCs w:val="32"/>
          <w:highlight w:val="none"/>
        </w:rPr>
      </w:pPr>
      <w:r>
        <w:rPr>
          <w:rFonts w:eastAsia="仿宋_GB2312"/>
          <w:kern w:val="32"/>
          <w:szCs w:val="32"/>
          <w:highlight w:val="none"/>
        </w:rPr>
        <w:t>全年共完成895个减排项目，其中水污染减排项目35个、大气污染减排项目860个。PM</w:t>
      </w:r>
      <w:r>
        <w:rPr>
          <w:rFonts w:eastAsia="仿宋_GB2312"/>
          <w:kern w:val="32"/>
          <w:szCs w:val="32"/>
          <w:highlight w:val="none"/>
          <w:vertAlign w:val="subscript"/>
        </w:rPr>
        <w:t>2.5</w:t>
      </w:r>
      <w:r>
        <w:rPr>
          <w:rFonts w:eastAsia="仿宋_GB2312"/>
          <w:kern w:val="32"/>
          <w:szCs w:val="32"/>
          <w:highlight w:val="none"/>
        </w:rPr>
        <w:t>年均浓度27.1微克/立方米，全年空气质量优良天数比率87.4%。地表水国省考断面水质优</w:t>
      </w:r>
      <w:r>
        <w:rPr>
          <w:rFonts w:hint="eastAsia" w:eastAsia="仿宋_GB2312"/>
          <w:kern w:val="32"/>
          <w:szCs w:val="32"/>
          <w:highlight w:val="none"/>
        </w:rPr>
        <w:t>I</w:t>
      </w:r>
      <w:r>
        <w:rPr>
          <w:rFonts w:eastAsia="仿宋_GB2312"/>
          <w:kern w:val="32"/>
          <w:szCs w:val="32"/>
          <w:highlight w:val="none"/>
        </w:rPr>
        <w:t>II比例100%，长江干流南京段水质保持</w:t>
      </w:r>
      <w:r>
        <w:rPr>
          <w:rFonts w:hint="eastAsia" w:ascii="宋体" w:hAnsi="宋体" w:eastAsia="宋体" w:cs="宋体"/>
          <w:kern w:val="32"/>
          <w:szCs w:val="32"/>
          <w:highlight w:val="none"/>
        </w:rPr>
        <w:t>Ⅱ</w:t>
      </w:r>
      <w:r>
        <w:rPr>
          <w:rFonts w:eastAsia="仿宋_GB2312"/>
          <w:kern w:val="32"/>
          <w:szCs w:val="32"/>
          <w:highlight w:val="none"/>
        </w:rPr>
        <w:t>类，主要入江支流和集中式饮用水水源地水质全部达标。</w:t>
      </w:r>
    </w:p>
    <w:p w14:paraId="441C7AF3">
      <w:pPr>
        <w:snapToGrid w:val="0"/>
        <w:spacing w:line="560" w:lineRule="exact"/>
        <w:ind w:firstLine="632" w:firstLineChars="200"/>
        <w:rPr>
          <w:rStyle w:val="16"/>
          <w:rFonts w:eastAsia="仿宋_GB2312"/>
          <w:highlight w:val="none"/>
        </w:rPr>
      </w:pPr>
      <w:r>
        <w:rPr>
          <w:rFonts w:eastAsia="仿宋_GB2312"/>
          <w:kern w:val="32"/>
          <w:szCs w:val="32"/>
          <w:highlight w:val="none"/>
        </w:rPr>
        <w:t>推动5个城市更新实验区先行先试，实施城市更新项目62个，完成老旧小区改造138个，整治提升背街小巷60条，颐和路历史文化街区保护更新项目入选全国城市更新典型案例。</w:t>
      </w:r>
    </w:p>
    <w:p w14:paraId="7A5EEEE9">
      <w:pPr>
        <w:pStyle w:val="6"/>
        <w:widowControl/>
        <w:shd w:val="clear" w:color="auto" w:fill="FFFFFF"/>
        <w:snapToGrid w:val="0"/>
        <w:spacing w:before="0" w:beforeAutospacing="0" w:after="0" w:afterAutospacing="0" w:line="560" w:lineRule="exact"/>
        <w:jc w:val="both"/>
        <w:rPr>
          <w:rFonts w:ascii="Times New Roman" w:hAnsi="Times New Roman" w:eastAsia="仿宋_GB2312"/>
          <w:b/>
          <w:kern w:val="2"/>
          <w:sz w:val="28"/>
          <w:szCs w:val="28"/>
          <w:highlight w:val="none"/>
          <w:shd w:val="clear" w:color="auto" w:fill="FFFFFF"/>
        </w:rPr>
      </w:pPr>
    </w:p>
    <w:p w14:paraId="0241BA57">
      <w:pPr>
        <w:pStyle w:val="6"/>
        <w:widowControl/>
        <w:shd w:val="clear" w:color="auto" w:fill="FFFFFF"/>
        <w:snapToGrid w:val="0"/>
        <w:spacing w:before="0" w:beforeAutospacing="0" w:after="0" w:afterAutospacing="0" w:line="560" w:lineRule="exact"/>
        <w:jc w:val="both"/>
        <w:rPr>
          <w:rFonts w:ascii="Times New Roman" w:hAnsi="Times New Roman" w:eastAsia="黑体"/>
          <w:b/>
          <w:kern w:val="2"/>
          <w:sz w:val="28"/>
          <w:szCs w:val="28"/>
          <w:highlight w:val="none"/>
          <w:shd w:val="clear" w:color="auto" w:fill="FFFFFF"/>
        </w:rPr>
      </w:pPr>
    </w:p>
    <w:p w14:paraId="21F3F548">
      <w:pPr>
        <w:pStyle w:val="6"/>
        <w:widowControl/>
        <w:shd w:val="clear" w:color="auto" w:fill="FFFFFF"/>
        <w:snapToGrid w:val="0"/>
        <w:spacing w:before="0" w:beforeAutospacing="0" w:after="0" w:afterAutospacing="0" w:line="560" w:lineRule="exact"/>
        <w:jc w:val="both"/>
        <w:rPr>
          <w:rFonts w:ascii="Times New Roman" w:hAnsi="Times New Roman" w:eastAsia="黑体"/>
          <w:b/>
          <w:sz w:val="28"/>
          <w:szCs w:val="28"/>
          <w:highlight w:val="none"/>
          <w:shd w:val="clear" w:color="auto" w:fill="FFFFFF"/>
        </w:rPr>
      </w:pPr>
      <w:r>
        <w:rPr>
          <w:rFonts w:ascii="Times New Roman" w:hAnsi="Times New Roman" w:eastAsia="黑体"/>
          <w:b/>
          <w:kern w:val="2"/>
          <w:sz w:val="28"/>
          <w:szCs w:val="28"/>
          <w:highlight w:val="none"/>
          <w:shd w:val="clear" w:color="auto" w:fill="FFFFFF"/>
        </w:rPr>
        <w:br w:type="page"/>
      </w:r>
      <w:r>
        <w:rPr>
          <w:rFonts w:ascii="Times New Roman" w:hAnsi="Times New Roman" w:eastAsia="黑体"/>
          <w:b/>
          <w:kern w:val="2"/>
          <w:sz w:val="28"/>
          <w:szCs w:val="28"/>
          <w:highlight w:val="none"/>
          <w:shd w:val="clear" w:color="auto" w:fill="FFFFFF"/>
        </w:rPr>
        <w:t>注释：</w:t>
      </w:r>
    </w:p>
    <w:p w14:paraId="29E013BA">
      <w:pPr>
        <w:pStyle w:val="6"/>
        <w:widowControl/>
        <w:numPr>
          <w:ilvl w:val="0"/>
          <w:numId w:val="1"/>
        </w:numPr>
        <w:shd w:val="clear" w:color="auto" w:fill="FFFFFF"/>
        <w:snapToGrid w:val="0"/>
        <w:spacing w:before="0" w:beforeAutospacing="0" w:after="0" w:afterAutospacing="0" w:line="560" w:lineRule="exact"/>
        <w:jc w:val="both"/>
        <w:rPr>
          <w:rFonts w:ascii="Times New Roman" w:hAnsi="Times New Roman"/>
          <w:highlight w:val="none"/>
        </w:rPr>
      </w:pPr>
      <w:r>
        <w:rPr>
          <w:rFonts w:ascii="Times New Roman" w:hAnsi="Times New Roman"/>
          <w:highlight w:val="none"/>
        </w:rPr>
        <w:t>本公报中数据均为初步统计数。部分数据因四舍五入的原因，存在总计与分项合计不等的情况。</w:t>
      </w:r>
    </w:p>
    <w:p w14:paraId="25870DC0">
      <w:pPr>
        <w:pStyle w:val="6"/>
        <w:widowControl/>
        <w:numPr>
          <w:ilvl w:val="0"/>
          <w:numId w:val="1"/>
        </w:numPr>
        <w:shd w:val="clear" w:color="auto" w:fill="FFFFFF"/>
        <w:snapToGrid w:val="0"/>
        <w:spacing w:before="0" w:beforeAutospacing="0" w:after="0" w:afterAutospacing="0" w:line="560" w:lineRule="exact"/>
        <w:jc w:val="both"/>
        <w:rPr>
          <w:rFonts w:ascii="Times New Roman" w:hAnsi="Times New Roman"/>
          <w:highlight w:val="none"/>
        </w:rPr>
      </w:pPr>
      <w:r>
        <w:rPr>
          <w:rFonts w:ascii="Times New Roman" w:hAnsi="Times New Roman"/>
          <w:highlight w:val="none"/>
        </w:rPr>
        <w:t>地区生产总值、三次产业增加值及行业增加值、人均地区生产总值绝对数按现价计算，增长速度按不变价格计算。</w:t>
      </w:r>
    </w:p>
    <w:p w14:paraId="698777DE">
      <w:pPr>
        <w:pStyle w:val="6"/>
        <w:widowControl/>
        <w:numPr>
          <w:ilvl w:val="0"/>
          <w:numId w:val="1"/>
        </w:numPr>
        <w:shd w:val="clear" w:color="auto" w:fill="FFFFFF"/>
        <w:snapToGrid w:val="0"/>
        <w:spacing w:before="0" w:beforeAutospacing="0" w:after="0" w:afterAutospacing="0" w:line="560" w:lineRule="exact"/>
        <w:jc w:val="both"/>
        <w:rPr>
          <w:rFonts w:ascii="Times New Roman" w:hAnsi="Times New Roman"/>
          <w:highlight w:val="none"/>
        </w:rPr>
      </w:pPr>
      <w:r>
        <w:rPr>
          <w:rFonts w:ascii="Times New Roman" w:hAnsi="Times New Roman"/>
          <w:highlight w:val="none"/>
        </w:rPr>
        <w:t>原保险保费收入是指保险企业确认的原保险合同保费收入。</w:t>
      </w:r>
    </w:p>
    <w:p w14:paraId="626ED1FD">
      <w:pPr>
        <w:pStyle w:val="6"/>
        <w:widowControl/>
        <w:numPr>
          <w:ilvl w:val="0"/>
          <w:numId w:val="1"/>
        </w:numPr>
        <w:shd w:val="clear" w:color="auto" w:fill="FFFFFF"/>
        <w:snapToGrid w:val="0"/>
        <w:spacing w:before="0" w:beforeAutospacing="0" w:after="0" w:afterAutospacing="0" w:line="560" w:lineRule="exact"/>
        <w:jc w:val="both"/>
        <w:rPr>
          <w:rFonts w:ascii="Times New Roman" w:hAnsi="Times New Roman"/>
          <w:highlight w:val="none"/>
        </w:rPr>
      </w:pPr>
      <w:r>
        <w:rPr>
          <w:rFonts w:ascii="Times New Roman" w:hAnsi="Times New Roman"/>
          <w:highlight w:val="none"/>
        </w:rPr>
        <w:t>按照我国地区生产总值统一核算和数据发布制度规定，地区生产总值核算包括初步核算和最终核实两个步骤。经最终核实，2024年南京市地区生产总值现价总量为18593.77亿元。</w:t>
      </w:r>
    </w:p>
    <w:p w14:paraId="1BD38570">
      <w:pPr>
        <w:adjustRightInd w:val="0"/>
        <w:snapToGrid w:val="0"/>
        <w:spacing w:line="520" w:lineRule="exact"/>
        <w:rPr>
          <w:rFonts w:eastAsia="黑体"/>
          <w:b/>
          <w:kern w:val="0"/>
          <w:sz w:val="28"/>
          <w:szCs w:val="28"/>
          <w:highlight w:val="none"/>
        </w:rPr>
      </w:pPr>
    </w:p>
    <w:p w14:paraId="74942F82">
      <w:pPr>
        <w:adjustRightInd w:val="0"/>
        <w:snapToGrid w:val="0"/>
        <w:spacing w:line="520" w:lineRule="exact"/>
        <w:rPr>
          <w:rFonts w:eastAsia="黑体"/>
          <w:b/>
          <w:kern w:val="0"/>
          <w:sz w:val="28"/>
          <w:szCs w:val="28"/>
          <w:highlight w:val="none"/>
        </w:rPr>
      </w:pPr>
      <w:r>
        <w:rPr>
          <w:rFonts w:eastAsia="黑体"/>
          <w:b/>
          <w:kern w:val="0"/>
          <w:sz w:val="28"/>
          <w:szCs w:val="28"/>
          <w:highlight w:val="none"/>
        </w:rPr>
        <w:t>资料来源：</w:t>
      </w:r>
    </w:p>
    <w:p w14:paraId="6FB25328">
      <w:pPr>
        <w:adjustRightInd w:val="0"/>
        <w:snapToGrid w:val="0"/>
        <w:spacing w:line="520" w:lineRule="exact"/>
        <w:ind w:firstLine="472" w:firstLineChars="200"/>
        <w:rPr>
          <w:rFonts w:eastAsia="方正仿宋_GBK"/>
          <w:sz w:val="28"/>
          <w:szCs w:val="28"/>
        </w:rPr>
      </w:pPr>
      <w:r>
        <w:rPr>
          <w:rFonts w:eastAsia="宋体"/>
          <w:kern w:val="0"/>
          <w:sz w:val="24"/>
          <w:highlight w:val="none"/>
        </w:rPr>
        <w:t>本公报中财政数据来自市财政局；就业、社会保障数据来自市人力资源和社会保障局；企业登记、专利数据来自市市场监督管理局；特色农业数据来自市农业农村局；公路、水路交通运输数据来自市交通运输局；铁路运输数据来自省统计局反馈；民航运输数据来自东部机场集团有限公司和中国东方航空江苏有限公司；轨道交通数据来自南京地铁集团有限公司；邮政、电信业务数据来自市邮政管理局和江苏省南京通信行业管理办公室；外贸外资数据来自金陵海关、市商务局；金融数据来自中国人民银行江苏省分行；上市公司数据来自市委金融委员会办公室；保费收入数据来自国家金融监督管理总局江苏监管局；低保数据来自市民政局；科技数据来自市科技局；教育数据来自市教育局；文化、旅游数据来自市文化和旅游局；卫生</w:t>
      </w:r>
      <w:r>
        <w:rPr>
          <w:rFonts w:hint="eastAsia" w:eastAsia="宋体"/>
          <w:kern w:val="0"/>
          <w:sz w:val="24"/>
          <w:highlight w:val="none"/>
        </w:rPr>
        <w:t>健康</w:t>
      </w:r>
      <w:r>
        <w:rPr>
          <w:rFonts w:eastAsia="宋体"/>
          <w:kern w:val="0"/>
          <w:sz w:val="24"/>
          <w:highlight w:val="none"/>
        </w:rPr>
        <w:t>数据来自市卫生健康委员会；体育数据来自市体育局；环保数据来自市生态环境局；城市更新数据来自市城乡建设委员会；价格、城乡居民收支</w:t>
      </w:r>
      <w:r>
        <w:rPr>
          <w:rFonts w:hint="eastAsia" w:eastAsia="宋体"/>
          <w:kern w:val="0"/>
          <w:sz w:val="24"/>
          <w:highlight w:val="none"/>
        </w:rPr>
        <w:t>、粮食生产</w:t>
      </w:r>
      <w:r>
        <w:rPr>
          <w:rFonts w:eastAsia="宋体"/>
          <w:kern w:val="0"/>
          <w:sz w:val="24"/>
          <w:highlight w:val="none"/>
        </w:rPr>
        <w:t>数据来自国家统计局南京调查队；其他有关数据来自市统计局。</w:t>
      </w:r>
      <w:bookmarkEnd w:id="0"/>
    </w:p>
    <w:sectPr>
      <w:footerReference r:id="rId3" w:type="default"/>
      <w:footerReference r:id="rId4" w:type="even"/>
      <w:pgSz w:w="11906" w:h="16838"/>
      <w:pgMar w:top="2098" w:right="1474" w:bottom="1984" w:left="1588" w:header="851" w:footer="1417" w:gutter="0"/>
      <w:pgNumType w:fmt="numberInDash"/>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96E0">
    <w:pPr>
      <w:pStyle w:val="4"/>
      <w:ind w:right="344"/>
      <w:jc w:val="right"/>
      <w:rPr>
        <w:rFonts w:ascii="宋体" w:hAnsi="宋体"/>
        <w:sz w:val="28"/>
        <w:szCs w:val="28"/>
      </w:rPr>
    </w:pPr>
    <w:r>
      <w:rPr>
        <w:rFonts w:hint="eastAsia"/>
      </w:rPr>
      <w:t xml:space="preserve">                                                         </w:t>
    </w:r>
    <w:sdt>
      <w:sdtPr>
        <w:id w:val="460766765"/>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sdtContent>
    </w:sdt>
  </w:p>
  <w:p w14:paraId="6A8689DC">
    <w:pPr>
      <w:pStyle w:val="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5178268"/>
    </w:sdtPr>
    <w:sdtEndPr>
      <w:rPr>
        <w:rFonts w:ascii="宋体" w:hAnsi="宋体"/>
        <w:sz w:val="28"/>
        <w:szCs w:val="28"/>
      </w:rPr>
    </w:sdtEndPr>
    <w:sdtContent>
      <w:p w14:paraId="15E91F8A">
        <w:pPr>
          <w:pStyle w:val="4"/>
          <w:ind w:firstLine="360" w:firstLineChars="2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sdtContent>
  </w:sdt>
  <w:p w14:paraId="56EE1AB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48762"/>
    <w:multiLevelType w:val="singleLevel"/>
    <w:tmpl w:val="9BD4876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trackedChanges" w:enforcement="0"/>
  <w:defaultTabStop w:val="420"/>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94"/>
    <w:rsid w:val="000342F8"/>
    <w:rsid w:val="00063C73"/>
    <w:rsid w:val="000C2F23"/>
    <w:rsid w:val="000D7DAA"/>
    <w:rsid w:val="00104BFC"/>
    <w:rsid w:val="00127993"/>
    <w:rsid w:val="00136F2B"/>
    <w:rsid w:val="00144A2C"/>
    <w:rsid w:val="001517FF"/>
    <w:rsid w:val="0016612D"/>
    <w:rsid w:val="0016670C"/>
    <w:rsid w:val="00183EAA"/>
    <w:rsid w:val="001D0FA1"/>
    <w:rsid w:val="001D14F4"/>
    <w:rsid w:val="001D3832"/>
    <w:rsid w:val="001D3A54"/>
    <w:rsid w:val="001F2A01"/>
    <w:rsid w:val="002150BD"/>
    <w:rsid w:val="00260A4D"/>
    <w:rsid w:val="002632CA"/>
    <w:rsid w:val="002727CA"/>
    <w:rsid w:val="002737A0"/>
    <w:rsid w:val="00277AC9"/>
    <w:rsid w:val="00292D62"/>
    <w:rsid w:val="002977ED"/>
    <w:rsid w:val="002A5D16"/>
    <w:rsid w:val="002C5A86"/>
    <w:rsid w:val="002D4200"/>
    <w:rsid w:val="002E5482"/>
    <w:rsid w:val="002E5506"/>
    <w:rsid w:val="003000A6"/>
    <w:rsid w:val="00333A2A"/>
    <w:rsid w:val="00343BDB"/>
    <w:rsid w:val="003578B1"/>
    <w:rsid w:val="00395267"/>
    <w:rsid w:val="003C27F7"/>
    <w:rsid w:val="003D5B7C"/>
    <w:rsid w:val="003E1525"/>
    <w:rsid w:val="003F5310"/>
    <w:rsid w:val="004123BB"/>
    <w:rsid w:val="0041589D"/>
    <w:rsid w:val="00423C43"/>
    <w:rsid w:val="004415C2"/>
    <w:rsid w:val="00444DB0"/>
    <w:rsid w:val="00461426"/>
    <w:rsid w:val="004C0B7A"/>
    <w:rsid w:val="0051019C"/>
    <w:rsid w:val="00513E3C"/>
    <w:rsid w:val="00526435"/>
    <w:rsid w:val="00565797"/>
    <w:rsid w:val="00584DFE"/>
    <w:rsid w:val="005939B8"/>
    <w:rsid w:val="005A045A"/>
    <w:rsid w:val="005A1FD0"/>
    <w:rsid w:val="005B0510"/>
    <w:rsid w:val="005B6C63"/>
    <w:rsid w:val="006003B4"/>
    <w:rsid w:val="006106CF"/>
    <w:rsid w:val="006370E8"/>
    <w:rsid w:val="006513C2"/>
    <w:rsid w:val="00663DCA"/>
    <w:rsid w:val="006664A1"/>
    <w:rsid w:val="00671F75"/>
    <w:rsid w:val="00674303"/>
    <w:rsid w:val="0068451C"/>
    <w:rsid w:val="00684F30"/>
    <w:rsid w:val="006B44EA"/>
    <w:rsid w:val="006D1376"/>
    <w:rsid w:val="006D42AE"/>
    <w:rsid w:val="006D6A26"/>
    <w:rsid w:val="00706E4A"/>
    <w:rsid w:val="007267AC"/>
    <w:rsid w:val="00752ED1"/>
    <w:rsid w:val="007846B4"/>
    <w:rsid w:val="0079792A"/>
    <w:rsid w:val="007A7A3C"/>
    <w:rsid w:val="007B769A"/>
    <w:rsid w:val="007D5CEA"/>
    <w:rsid w:val="007E14D7"/>
    <w:rsid w:val="007F33B0"/>
    <w:rsid w:val="00800334"/>
    <w:rsid w:val="00807D4F"/>
    <w:rsid w:val="00885B6F"/>
    <w:rsid w:val="008B7FE2"/>
    <w:rsid w:val="008C1CBD"/>
    <w:rsid w:val="008E6283"/>
    <w:rsid w:val="00907D93"/>
    <w:rsid w:val="00992EC9"/>
    <w:rsid w:val="009A1857"/>
    <w:rsid w:val="009A2424"/>
    <w:rsid w:val="009A3763"/>
    <w:rsid w:val="009B1164"/>
    <w:rsid w:val="009D4B14"/>
    <w:rsid w:val="00A00813"/>
    <w:rsid w:val="00A14757"/>
    <w:rsid w:val="00A22905"/>
    <w:rsid w:val="00A4511B"/>
    <w:rsid w:val="00A75F5D"/>
    <w:rsid w:val="00AB3E04"/>
    <w:rsid w:val="00AB7F71"/>
    <w:rsid w:val="00AC2E27"/>
    <w:rsid w:val="00B00A96"/>
    <w:rsid w:val="00B014E5"/>
    <w:rsid w:val="00B22CF7"/>
    <w:rsid w:val="00B6501E"/>
    <w:rsid w:val="00B91E57"/>
    <w:rsid w:val="00BB352C"/>
    <w:rsid w:val="00BB45F4"/>
    <w:rsid w:val="00BB59FB"/>
    <w:rsid w:val="00BC204B"/>
    <w:rsid w:val="00BC5515"/>
    <w:rsid w:val="00BF235F"/>
    <w:rsid w:val="00C03C19"/>
    <w:rsid w:val="00C052AA"/>
    <w:rsid w:val="00C16701"/>
    <w:rsid w:val="00C20D6C"/>
    <w:rsid w:val="00C2122D"/>
    <w:rsid w:val="00C74E31"/>
    <w:rsid w:val="00C81C4D"/>
    <w:rsid w:val="00CB4796"/>
    <w:rsid w:val="00CE081C"/>
    <w:rsid w:val="00CE326C"/>
    <w:rsid w:val="00D46956"/>
    <w:rsid w:val="00D5360B"/>
    <w:rsid w:val="00D76483"/>
    <w:rsid w:val="00D76F75"/>
    <w:rsid w:val="00DE5188"/>
    <w:rsid w:val="00E63A70"/>
    <w:rsid w:val="00E65F93"/>
    <w:rsid w:val="00E67C9B"/>
    <w:rsid w:val="00EA3FC9"/>
    <w:rsid w:val="00EA4B15"/>
    <w:rsid w:val="00EB2494"/>
    <w:rsid w:val="00EB3081"/>
    <w:rsid w:val="00EB5446"/>
    <w:rsid w:val="00EB6075"/>
    <w:rsid w:val="00EE76FB"/>
    <w:rsid w:val="00F05C75"/>
    <w:rsid w:val="00F31F04"/>
    <w:rsid w:val="00F3234A"/>
    <w:rsid w:val="00F41559"/>
    <w:rsid w:val="00F46739"/>
    <w:rsid w:val="00F9590B"/>
    <w:rsid w:val="00F97675"/>
    <w:rsid w:val="00FB1ACC"/>
    <w:rsid w:val="00FC0438"/>
    <w:rsid w:val="00FD330B"/>
    <w:rsid w:val="01004D1F"/>
    <w:rsid w:val="01565864"/>
    <w:rsid w:val="01993D60"/>
    <w:rsid w:val="03212FAF"/>
    <w:rsid w:val="04E55FEE"/>
    <w:rsid w:val="06135E55"/>
    <w:rsid w:val="065C63CF"/>
    <w:rsid w:val="06AF038E"/>
    <w:rsid w:val="07984128"/>
    <w:rsid w:val="080F246F"/>
    <w:rsid w:val="0A12645E"/>
    <w:rsid w:val="0B7F614D"/>
    <w:rsid w:val="0B9C4238"/>
    <w:rsid w:val="0CE20A62"/>
    <w:rsid w:val="0DDA653B"/>
    <w:rsid w:val="0FE13317"/>
    <w:rsid w:val="13EC059C"/>
    <w:rsid w:val="151E3B33"/>
    <w:rsid w:val="15331402"/>
    <w:rsid w:val="17B374D2"/>
    <w:rsid w:val="1A0F4152"/>
    <w:rsid w:val="1ABD04C0"/>
    <w:rsid w:val="1E402EC5"/>
    <w:rsid w:val="20176955"/>
    <w:rsid w:val="20517769"/>
    <w:rsid w:val="209D0D1F"/>
    <w:rsid w:val="20D65FDF"/>
    <w:rsid w:val="22095E0C"/>
    <w:rsid w:val="230E380E"/>
    <w:rsid w:val="240C1F4D"/>
    <w:rsid w:val="24525F11"/>
    <w:rsid w:val="247928B6"/>
    <w:rsid w:val="24D74B54"/>
    <w:rsid w:val="25693628"/>
    <w:rsid w:val="262756F9"/>
    <w:rsid w:val="27135897"/>
    <w:rsid w:val="283D127F"/>
    <w:rsid w:val="2937276D"/>
    <w:rsid w:val="2BE06F7A"/>
    <w:rsid w:val="2F1A353B"/>
    <w:rsid w:val="2FFA3ADC"/>
    <w:rsid w:val="300331F2"/>
    <w:rsid w:val="30470C47"/>
    <w:rsid w:val="30A12956"/>
    <w:rsid w:val="314E1F19"/>
    <w:rsid w:val="327B2543"/>
    <w:rsid w:val="33E010E3"/>
    <w:rsid w:val="34157DAB"/>
    <w:rsid w:val="35111118"/>
    <w:rsid w:val="366C6B83"/>
    <w:rsid w:val="36A41422"/>
    <w:rsid w:val="37704640"/>
    <w:rsid w:val="37D921E5"/>
    <w:rsid w:val="389566AD"/>
    <w:rsid w:val="39D709A6"/>
    <w:rsid w:val="3B4F195B"/>
    <w:rsid w:val="3C7D67B1"/>
    <w:rsid w:val="3D3F1780"/>
    <w:rsid w:val="3D5B5D7E"/>
    <w:rsid w:val="3ED01227"/>
    <w:rsid w:val="40192A87"/>
    <w:rsid w:val="40807FDE"/>
    <w:rsid w:val="41446B87"/>
    <w:rsid w:val="417B2601"/>
    <w:rsid w:val="41A1011B"/>
    <w:rsid w:val="424B3CDF"/>
    <w:rsid w:val="426339F7"/>
    <w:rsid w:val="426E3E72"/>
    <w:rsid w:val="438A5FDD"/>
    <w:rsid w:val="44BF7900"/>
    <w:rsid w:val="47430D43"/>
    <w:rsid w:val="486E1F78"/>
    <w:rsid w:val="48E629B4"/>
    <w:rsid w:val="4A450DD8"/>
    <w:rsid w:val="4A791606"/>
    <w:rsid w:val="4D3B6CCA"/>
    <w:rsid w:val="4E2875CB"/>
    <w:rsid w:val="4F7A3F06"/>
    <w:rsid w:val="504410EB"/>
    <w:rsid w:val="50D92DFE"/>
    <w:rsid w:val="52A22A4A"/>
    <w:rsid w:val="53206AC2"/>
    <w:rsid w:val="53303E6D"/>
    <w:rsid w:val="534C0C26"/>
    <w:rsid w:val="54DF6CB8"/>
    <w:rsid w:val="550C6CE3"/>
    <w:rsid w:val="55F75764"/>
    <w:rsid w:val="56826A9A"/>
    <w:rsid w:val="569577C7"/>
    <w:rsid w:val="57340FAF"/>
    <w:rsid w:val="596A4F72"/>
    <w:rsid w:val="596F60AE"/>
    <w:rsid w:val="5C0119B2"/>
    <w:rsid w:val="5D2175BB"/>
    <w:rsid w:val="5E802B0B"/>
    <w:rsid w:val="5F0B5F6D"/>
    <w:rsid w:val="61384350"/>
    <w:rsid w:val="64650A2E"/>
    <w:rsid w:val="64CA4AE0"/>
    <w:rsid w:val="65BF77FD"/>
    <w:rsid w:val="67630CEF"/>
    <w:rsid w:val="67D143D7"/>
    <w:rsid w:val="691C4A36"/>
    <w:rsid w:val="6A6D6639"/>
    <w:rsid w:val="6B07364D"/>
    <w:rsid w:val="6F7D0521"/>
    <w:rsid w:val="6FE4739E"/>
    <w:rsid w:val="70412FCA"/>
    <w:rsid w:val="70C74A17"/>
    <w:rsid w:val="71B12103"/>
    <w:rsid w:val="723179CB"/>
    <w:rsid w:val="758D4034"/>
    <w:rsid w:val="76704F79"/>
    <w:rsid w:val="78345587"/>
    <w:rsid w:val="78605CFC"/>
    <w:rsid w:val="78DA26BD"/>
    <w:rsid w:val="79787C8C"/>
    <w:rsid w:val="7A670696"/>
    <w:rsid w:val="7AE70AB2"/>
    <w:rsid w:val="7C743857"/>
    <w:rsid w:val="7CCD21FF"/>
    <w:rsid w:val="7CD04BB5"/>
    <w:rsid w:val="7D133070"/>
    <w:rsid w:val="7E840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2"/>
    <w:basedOn w:val="1"/>
    <w:next w:val="1"/>
    <w:link w:val="16"/>
    <w:qFormat/>
    <w:uiPriority w:val="0"/>
    <w:pPr>
      <w:keepNext/>
      <w:keepLines/>
      <w:spacing w:before="120" w:after="120" w:line="600" w:lineRule="exact"/>
      <w:jc w:val="center"/>
      <w:outlineLvl w:val="1"/>
    </w:pPr>
    <w:rPr>
      <w:rFonts w:eastAsia="方正黑体_GBK"/>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Calibri" w:hAnsi="Calibri" w:eastAsia="宋体"/>
      <w:kern w:val="0"/>
      <w:sz w:val="24"/>
    </w:rPr>
  </w:style>
  <w:style w:type="character" w:styleId="9">
    <w:name w:val="Strong"/>
    <w:qFormat/>
    <w:uiPriority w:val="0"/>
    <w:rPr>
      <w:b/>
    </w:rPr>
  </w:style>
  <w:style w:type="paragraph" w:customStyle="1" w:styleId="10">
    <w:name w:val="局发文正文"/>
    <w:basedOn w:val="1"/>
    <w:qFormat/>
    <w:uiPriority w:val="0"/>
    <w:pPr>
      <w:adjustRightInd w:val="0"/>
      <w:spacing w:line="600" w:lineRule="exact"/>
      <w:ind w:firstLine="200" w:firstLineChars="200"/>
    </w:pPr>
    <w:rPr>
      <w:rFonts w:ascii="仿宋_GB2312" w:eastAsia="仿宋_GB2312"/>
      <w:caps/>
      <w:spacing w:val="6"/>
      <w:kern w:val="0"/>
      <w:szCs w:val="20"/>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页眉 字符"/>
    <w:basedOn w:val="8"/>
    <w:link w:val="5"/>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标题 2 Char"/>
    <w:basedOn w:val="8"/>
    <w:semiHidden/>
    <w:qFormat/>
    <w:uiPriority w:val="9"/>
    <w:rPr>
      <w:rFonts w:asciiTheme="majorHAnsi" w:hAnsiTheme="majorHAnsi" w:eastAsiaTheme="majorEastAsia" w:cstheme="majorBidi"/>
      <w:b/>
      <w:bCs/>
      <w:kern w:val="2"/>
      <w:sz w:val="32"/>
      <w:szCs w:val="32"/>
    </w:rPr>
  </w:style>
  <w:style w:type="character" w:customStyle="1" w:styleId="15">
    <w:name w:val="font41"/>
    <w:qFormat/>
    <w:uiPriority w:val="0"/>
    <w:rPr>
      <w:rFonts w:hint="eastAsia" w:ascii="宋体" w:hAnsi="宋体" w:eastAsia="宋体" w:cs="宋体"/>
      <w:color w:val="000000"/>
      <w:sz w:val="24"/>
      <w:szCs w:val="24"/>
      <w:u w:val="none"/>
    </w:rPr>
  </w:style>
  <w:style w:type="character" w:customStyle="1" w:styleId="16">
    <w:name w:val="标题 2 字符"/>
    <w:link w:val="2"/>
    <w:qFormat/>
    <w:uiPriority w:val="0"/>
    <w:rPr>
      <w:rFonts w:ascii="Times New Roman" w:hAnsi="Times New Roman" w:eastAsia="方正黑体_GBK" w:cs="Times New Roman"/>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Microsoft</Company>
  <Pages>12</Pages>
  <Words>1026</Words>
  <Characters>5854</Characters>
  <Lines>48</Lines>
  <Paragraphs>13</Paragraphs>
  <TotalTime>13</TotalTime>
  <ScaleCrop>false</ScaleCrop>
  <LinksUpToDate>false</LinksUpToDate>
  <CharactersWithSpaces>6867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2026-03-09T06:14:00Z</dcterms:created>
  <dc:creator>许飞(许飞:)</dc:creator>
  <cp:lastModifiedBy>夏洁:处室领导审核</cp:lastModifiedBy>
  <cp:lastPrinted>2020-03-24T09:11:00Z</cp:lastPrinted>
  <dcterms:modified xsi:type="dcterms:W3CDTF">2026-04-03T06:48:35Z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12638460B04C44A581C3DC50E393F05B_12</vt:lpwstr>
  </property>
  <property fmtid="{D5CDD505-2E9C-101B-9397-08002B2CF9AE}" pid="4" name="KSOTemplateDocerSaveRecord">
    <vt:lpwstr>eyJoZGlkIjoiNDEyZGVjZTNmYWJiMDZlN2QwOWUyZTYxMTAxY2RhMjQifQ==</vt:lpwstr>
  </property>
</Properties>
</file>