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bCs/>
          <w:color w:val="0C0C0C"/>
          <w:kern w:val="0"/>
          <w:sz w:val="44"/>
          <w:szCs w:val="44"/>
          <w:shd w:val="clear" w:color="auto" w:fill="FFFFFF"/>
          <w:lang w:bidi="ar"/>
        </w:rPr>
      </w:pPr>
      <w:r>
        <w:rPr>
          <w:rFonts w:eastAsia="方正小标宋_GBK"/>
          <w:bCs/>
          <w:color w:val="0C0C0C"/>
          <w:kern w:val="0"/>
          <w:sz w:val="44"/>
          <w:szCs w:val="44"/>
          <w:shd w:val="clear" w:color="auto" w:fill="FFFFFF"/>
          <w:lang w:bidi="ar"/>
        </w:rPr>
        <w:t>南京市第五次全国经济普查公报（第四号）</w:t>
      </w:r>
    </w:p>
    <w:p>
      <w:pPr>
        <w:adjustRightInd w:val="0"/>
        <w:snapToGrid w:val="0"/>
        <w:spacing w:line="600" w:lineRule="exact"/>
        <w:jc w:val="center"/>
        <w:rPr>
          <w:rFonts w:eastAsia="楷体_GB2312"/>
          <w:bCs/>
          <w:color w:val="0C0C0C"/>
          <w:kern w:val="0"/>
          <w:szCs w:val="32"/>
          <w:shd w:val="clear" w:color="auto" w:fill="FFFFFF"/>
          <w:lang w:bidi="ar"/>
        </w:rPr>
      </w:pPr>
      <w:r>
        <w:rPr>
          <w:rFonts w:eastAsia="楷体_GB2312"/>
          <w:bCs/>
          <w:color w:val="0C0C0C"/>
          <w:kern w:val="0"/>
          <w:szCs w:val="32"/>
          <w:shd w:val="clear" w:color="auto" w:fill="FFFFFF"/>
          <w:lang w:bidi="ar"/>
        </w:rPr>
        <w:t>——第三产业基本情况之一</w:t>
      </w:r>
    </w:p>
    <w:p>
      <w:pPr>
        <w:adjustRightInd w:val="0"/>
        <w:snapToGrid w:val="0"/>
        <w:spacing w:line="600" w:lineRule="exact"/>
        <w:jc w:val="center"/>
        <w:rPr>
          <w:rFonts w:eastAsia="楷体_GB2312"/>
          <w:color w:val="0C0C0C"/>
          <w:szCs w:val="32"/>
        </w:rPr>
      </w:pPr>
      <w:r>
        <w:rPr>
          <w:rFonts w:eastAsia="楷体_GB2312"/>
          <w:color w:val="0C0C0C"/>
          <w:szCs w:val="32"/>
        </w:rPr>
        <w:t>南京市统计局</w:t>
      </w:r>
    </w:p>
    <w:p>
      <w:pPr>
        <w:pStyle w:val="7"/>
        <w:spacing w:line="500" w:lineRule="exact"/>
        <w:ind w:firstLine="0" w:firstLineChars="0"/>
        <w:jc w:val="center"/>
        <w:textAlignment w:val="baseline"/>
        <w:rPr>
          <w:rFonts w:eastAsia="楷体_GB2312"/>
          <w:color w:val="0C0C0C"/>
          <w:sz w:val="32"/>
          <w:szCs w:val="32"/>
        </w:rPr>
      </w:pPr>
      <w:r>
        <w:rPr>
          <w:rFonts w:eastAsia="楷体_GB2312"/>
          <w:color w:val="0C0C0C"/>
          <w:sz w:val="32"/>
          <w:szCs w:val="32"/>
        </w:rPr>
        <w:t>（2025年7月</w:t>
      </w:r>
      <w:r>
        <w:rPr>
          <w:rFonts w:hint="eastAsia" w:eastAsia="楷体_GB2312"/>
          <w:color w:val="0C0C0C"/>
          <w:sz w:val="32"/>
          <w:szCs w:val="32"/>
          <w:lang w:val="en-US" w:eastAsia="zh-CN"/>
        </w:rPr>
        <w:t>15</w:t>
      </w:r>
      <w:bookmarkStart w:id="0" w:name="_GoBack"/>
      <w:bookmarkEnd w:id="0"/>
      <w:r>
        <w:rPr>
          <w:rFonts w:eastAsia="楷体_GB2312"/>
          <w:color w:val="0C0C0C"/>
          <w:sz w:val="32"/>
          <w:szCs w:val="32"/>
        </w:rPr>
        <w:t>日）</w:t>
      </w:r>
    </w:p>
    <w:p>
      <w:pPr>
        <w:widowControl/>
        <w:spacing w:line="500" w:lineRule="exact"/>
        <w:rPr>
          <w:color w:val="0C0C0C"/>
          <w:szCs w:val="32"/>
        </w:rPr>
      </w:pPr>
    </w:p>
    <w:p>
      <w:pPr>
        <w:pStyle w:val="2"/>
        <w:snapToGrid w:val="0"/>
        <w:spacing w:line="560" w:lineRule="exact"/>
        <w:ind w:firstLine="632"/>
        <w:textAlignment w:val="center"/>
        <w:rPr>
          <w:rFonts w:eastAsia="仿宋_GB2312"/>
          <w:color w:val="0C0C0C"/>
          <w:sz w:val="32"/>
          <w:szCs w:val="32"/>
        </w:rPr>
      </w:pPr>
      <w:r>
        <w:rPr>
          <w:rFonts w:eastAsia="仿宋_GB2312"/>
          <w:color w:val="0C0C0C"/>
          <w:sz w:val="32"/>
          <w:szCs w:val="32"/>
        </w:rPr>
        <w:t>根据第五次全国经济普查结果，现将我市第三产业中批发和零售业，交通运输、仓储和邮政业，住宿和餐饮业，信息传输、软件和信息技术服务业，金融业，房地产业，租赁和商务服务业的主要数据公布如下：</w:t>
      </w:r>
    </w:p>
    <w:p>
      <w:pPr>
        <w:widowControl/>
        <w:adjustRightInd w:val="0"/>
        <w:snapToGrid w:val="0"/>
        <w:spacing w:line="560" w:lineRule="exact"/>
        <w:ind w:firstLine="640"/>
        <w:rPr>
          <w:color w:val="0C0C0C"/>
          <w:szCs w:val="32"/>
        </w:rPr>
      </w:pPr>
      <w:r>
        <w:rPr>
          <w:rFonts w:eastAsia="黑体"/>
          <w:bCs/>
          <w:color w:val="0C0C0C"/>
          <w:kern w:val="0"/>
          <w:szCs w:val="32"/>
          <w:lang w:bidi="ar"/>
        </w:rPr>
        <w:t>一、批发和零售业</w:t>
      </w:r>
    </w:p>
    <w:p>
      <w:pPr>
        <w:widowControl/>
        <w:adjustRightInd w:val="0"/>
        <w:snapToGrid w:val="0"/>
        <w:spacing w:line="560" w:lineRule="exact"/>
        <w:ind w:firstLine="640"/>
        <w:rPr>
          <w:color w:val="0C0C0C"/>
          <w:szCs w:val="32"/>
        </w:rPr>
      </w:pPr>
      <w:r>
        <w:rPr>
          <w:rFonts w:eastAsia="楷体_GB2312"/>
          <w:color w:val="0C0C0C"/>
          <w:kern w:val="0"/>
          <w:szCs w:val="32"/>
          <w:lang w:bidi="ar"/>
        </w:rPr>
        <w:t>（一）企业法人单位数和从业人员</w:t>
      </w:r>
    </w:p>
    <w:p>
      <w:pPr>
        <w:pStyle w:val="2"/>
        <w:snapToGrid w:val="0"/>
        <w:spacing w:line="560" w:lineRule="exact"/>
        <w:ind w:firstLine="608"/>
        <w:textAlignment w:val="center"/>
        <w:rPr>
          <w:rFonts w:eastAsia="仿宋_GB2312"/>
          <w:color w:val="0C0C0C"/>
          <w:sz w:val="32"/>
          <w:szCs w:val="32"/>
        </w:rPr>
      </w:pPr>
      <w:r>
        <w:rPr>
          <w:rFonts w:eastAsia="仿宋_GB2312"/>
          <w:color w:val="0C0C0C"/>
          <w:spacing w:val="-6"/>
          <w:sz w:val="32"/>
          <w:szCs w:val="32"/>
        </w:rPr>
        <w:t>2023年末，全市共有批发和零售业企业法人单位</w:t>
      </w:r>
      <w:r>
        <w:rPr>
          <w:rStyle w:val="23"/>
          <w:rFonts w:eastAsia="仿宋_GB2312"/>
          <w:color w:val="0C0C0C"/>
          <w:sz w:val="32"/>
          <w:szCs w:val="32"/>
        </w:rPr>
        <w:footnoteReference w:id="0"/>
      </w:r>
      <w:r>
        <w:rPr>
          <w:rFonts w:eastAsia="仿宋_GB2312"/>
          <w:color w:val="0C0C0C"/>
          <w:sz w:val="32"/>
          <w:szCs w:val="32"/>
        </w:rPr>
        <w:t>11.14万个，从业人员60.36万人，分别比2018年末增长121.8%和34.9%。</w:t>
      </w:r>
    </w:p>
    <w:p>
      <w:pPr>
        <w:pStyle w:val="2"/>
        <w:snapToGrid w:val="0"/>
        <w:spacing w:line="560" w:lineRule="exact"/>
        <w:ind w:firstLine="632"/>
        <w:textAlignment w:val="center"/>
        <w:rPr>
          <w:rFonts w:eastAsia="仿宋_GB2312"/>
          <w:color w:val="0C0C0C"/>
          <w:sz w:val="32"/>
          <w:szCs w:val="32"/>
        </w:rPr>
      </w:pPr>
      <w:r>
        <w:rPr>
          <w:rFonts w:eastAsia="仿宋_GB2312"/>
          <w:color w:val="0C0C0C"/>
          <w:sz w:val="32"/>
          <w:szCs w:val="32"/>
        </w:rPr>
        <w:t>在批发和零售业企业法人单位中，批发业占62.1%，零售业占37.9%。在批发和零售业企业法人单位从业人员中，批发业占59.9%，零售业占40.1%（详见表4-1）。</w:t>
      </w:r>
    </w:p>
    <w:p/>
    <w:p/>
    <w:p/>
    <w:p/>
    <w:p>
      <w:pPr>
        <w:widowControl/>
        <w:spacing w:line="320" w:lineRule="exact"/>
        <w:jc w:val="center"/>
      </w:pPr>
    </w:p>
    <w:p>
      <w:pPr>
        <w:widowControl/>
        <w:spacing w:line="320" w:lineRule="exact"/>
        <w:jc w:val="center"/>
        <w:rPr>
          <w:rFonts w:eastAsia="宋体"/>
          <w:b/>
          <w:color w:val="0C0C0C"/>
          <w:kern w:val="0"/>
          <w:sz w:val="24"/>
          <w:lang w:bidi="ar"/>
        </w:rPr>
      </w:pPr>
      <w:r>
        <w:rPr>
          <w:rFonts w:eastAsia="宋体"/>
          <w:b/>
          <w:color w:val="0C0C0C"/>
          <w:kern w:val="0"/>
          <w:sz w:val="24"/>
          <w:lang w:bidi="ar"/>
        </w:rPr>
        <w:t>表4-1　按行业中类分组的批发和零售业企业法人单位数和从业人员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691"/>
        <w:gridCol w:w="1814"/>
        <w:gridCol w:w="13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219" w:type="pct"/>
            <w:tcBorders>
              <w:top w:val="single" w:color="auto" w:sz="12" w:space="0"/>
              <w:left w:val="nil"/>
              <w:bottom w:val="single" w:color="auto" w:sz="4" w:space="0"/>
              <w:right w:val="single" w:color="auto" w:sz="4" w:space="0"/>
            </w:tcBorders>
            <w:vAlign w:val="center"/>
          </w:tcPr>
          <w:p>
            <w:pPr>
              <w:widowControl/>
              <w:spacing w:line="300" w:lineRule="exact"/>
              <w:ind w:left="57" w:right="57"/>
              <w:jc w:val="center"/>
              <w:rPr>
                <w:rFonts w:eastAsia="宋体"/>
                <w:color w:val="0C0C0C"/>
                <w:sz w:val="21"/>
                <w:szCs w:val="21"/>
              </w:rPr>
            </w:pPr>
            <w:r>
              <w:rPr>
                <w:rFonts w:eastAsia="宋体"/>
                <w:color w:val="0C0C0C"/>
                <w:kern w:val="0"/>
                <w:sz w:val="21"/>
                <w:szCs w:val="21"/>
                <w:lang w:bidi="ar"/>
              </w:rPr>
              <w:t>　</w:t>
            </w:r>
          </w:p>
        </w:tc>
        <w:tc>
          <w:tcPr>
            <w:tcW w:w="1026"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755"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从业人员</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9" w:type="pct"/>
            <w:tcBorders>
              <w:top w:val="single" w:color="auto" w:sz="4" w:space="0"/>
              <w:left w:val="nil"/>
              <w:bottom w:val="nil"/>
              <w:right w:val="single" w:color="auto" w:sz="4" w:space="0"/>
            </w:tcBorders>
            <w:vAlign w:val="center"/>
          </w:tcPr>
          <w:p>
            <w:pPr>
              <w:widowControl/>
              <w:spacing w:line="300" w:lineRule="exact"/>
              <w:ind w:right="57"/>
              <w:jc w:val="center"/>
              <w:rPr>
                <w:rFonts w:eastAsia="宋体"/>
                <w:color w:val="0C0C0C"/>
                <w:sz w:val="21"/>
                <w:szCs w:val="21"/>
              </w:rPr>
            </w:pPr>
            <w:r>
              <w:rPr>
                <w:rFonts w:eastAsia="宋体"/>
                <w:b/>
                <w:color w:val="0C0C0C"/>
                <w:kern w:val="0"/>
                <w:sz w:val="21"/>
                <w:szCs w:val="21"/>
                <w:lang w:bidi="ar"/>
              </w:rPr>
              <w:t>合　计</w:t>
            </w:r>
          </w:p>
        </w:tc>
        <w:tc>
          <w:tcPr>
            <w:tcW w:w="1026" w:type="pct"/>
            <w:tcBorders>
              <w:top w:val="single" w:color="auto" w:sz="4" w:space="0"/>
              <w:left w:val="single" w:color="auto" w:sz="4" w:space="0"/>
              <w:bottom w:val="nil"/>
              <w:right w:val="single" w:color="auto" w:sz="4" w:space="0"/>
            </w:tcBorders>
          </w:tcPr>
          <w:p>
            <w:pPr>
              <w:widowControl/>
              <w:spacing w:line="300" w:lineRule="exact"/>
              <w:ind w:right="57"/>
              <w:jc w:val="right"/>
              <w:rPr>
                <w:rFonts w:eastAsia="宋体"/>
                <w:b/>
                <w:color w:val="0C0C0C"/>
                <w:kern w:val="0"/>
                <w:sz w:val="21"/>
                <w:szCs w:val="21"/>
                <w:lang w:bidi="ar"/>
              </w:rPr>
            </w:pPr>
            <w:r>
              <w:rPr>
                <w:rFonts w:eastAsia="宋体"/>
                <w:b/>
                <w:color w:val="0C0C0C"/>
                <w:kern w:val="0"/>
                <w:sz w:val="21"/>
                <w:szCs w:val="21"/>
                <w:lang w:bidi="ar"/>
              </w:rPr>
              <w:t>111421</w:t>
            </w:r>
          </w:p>
        </w:tc>
        <w:tc>
          <w:tcPr>
            <w:tcW w:w="755" w:type="pct"/>
            <w:tcBorders>
              <w:top w:val="single" w:color="auto" w:sz="4" w:space="0"/>
              <w:left w:val="single" w:color="auto" w:sz="4" w:space="0"/>
              <w:bottom w:val="nil"/>
              <w:right w:val="nil"/>
            </w:tcBorders>
          </w:tcPr>
          <w:p>
            <w:pPr>
              <w:widowControl/>
              <w:spacing w:line="300" w:lineRule="exact"/>
              <w:ind w:right="57"/>
              <w:jc w:val="right"/>
              <w:rPr>
                <w:rFonts w:eastAsia="宋体"/>
                <w:b/>
                <w:color w:val="0C0C0C"/>
                <w:kern w:val="0"/>
                <w:sz w:val="21"/>
                <w:szCs w:val="21"/>
                <w:lang w:bidi="ar"/>
              </w:rPr>
            </w:pPr>
            <w:r>
              <w:rPr>
                <w:rFonts w:eastAsia="宋体"/>
                <w:b/>
                <w:color w:val="0C0C0C"/>
                <w:kern w:val="0"/>
                <w:sz w:val="21"/>
                <w:szCs w:val="21"/>
                <w:lang w:bidi="ar"/>
              </w:rPr>
              <w:t>60.36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jc w:val="left"/>
              <w:rPr>
                <w:rFonts w:eastAsia="宋体"/>
                <w:color w:val="0C0C0C"/>
                <w:sz w:val="21"/>
                <w:szCs w:val="21"/>
              </w:rPr>
            </w:pPr>
            <w:r>
              <w:rPr>
                <w:rFonts w:eastAsia="宋体"/>
                <w:b/>
                <w:color w:val="0C0C0C"/>
                <w:kern w:val="0"/>
                <w:sz w:val="21"/>
                <w:szCs w:val="21"/>
                <w:lang w:bidi="ar"/>
              </w:rPr>
              <w:t>批发业</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b/>
                <w:color w:val="0C0C0C"/>
                <w:kern w:val="0"/>
                <w:sz w:val="21"/>
                <w:szCs w:val="21"/>
                <w:lang w:bidi="ar"/>
              </w:rPr>
            </w:pPr>
            <w:r>
              <w:rPr>
                <w:rFonts w:eastAsia="宋体"/>
                <w:b/>
                <w:color w:val="0C0C0C"/>
                <w:kern w:val="0"/>
                <w:sz w:val="21"/>
                <w:szCs w:val="21"/>
                <w:lang w:bidi="ar"/>
              </w:rPr>
              <w:t>69236</w:t>
            </w:r>
          </w:p>
        </w:tc>
        <w:tc>
          <w:tcPr>
            <w:tcW w:w="755" w:type="pct"/>
            <w:tcBorders>
              <w:top w:val="nil"/>
              <w:left w:val="single" w:color="auto" w:sz="4" w:space="0"/>
              <w:bottom w:val="nil"/>
              <w:right w:val="nil"/>
            </w:tcBorders>
          </w:tcPr>
          <w:p>
            <w:pPr>
              <w:widowControl/>
              <w:spacing w:line="300" w:lineRule="exact"/>
              <w:ind w:right="57"/>
              <w:jc w:val="right"/>
              <w:rPr>
                <w:rFonts w:eastAsia="宋体"/>
                <w:b/>
                <w:color w:val="0C0C0C"/>
                <w:kern w:val="0"/>
                <w:sz w:val="21"/>
                <w:szCs w:val="21"/>
                <w:lang w:bidi="ar"/>
              </w:rPr>
            </w:pPr>
            <w:r>
              <w:rPr>
                <w:rFonts w:eastAsia="宋体"/>
                <w:b/>
                <w:color w:val="0C0C0C"/>
                <w:kern w:val="0"/>
                <w:sz w:val="21"/>
                <w:szCs w:val="21"/>
                <w:lang w:bidi="ar"/>
              </w:rPr>
              <w:t>36.17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农、林、牧、渔产品批发</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2585</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1.72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食品、饮料及烟草制品批发</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8441</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4.30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纺织、服装及家庭用品批发</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6422</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5.13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文化、体育用品及器材批发</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2340</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1.50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医药及医疗器材批发</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4235</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3.49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矿产品、建材及化工产品批发</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17737</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7.80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机械设备、五金产品及电子产品批发</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20759</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9.65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贸易经纪与代理</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1953</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0.74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其他批发业</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4764</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1.83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jc w:val="left"/>
              <w:rPr>
                <w:rFonts w:eastAsia="宋体"/>
                <w:color w:val="0C0C0C"/>
                <w:sz w:val="21"/>
                <w:szCs w:val="21"/>
              </w:rPr>
            </w:pPr>
            <w:r>
              <w:rPr>
                <w:rFonts w:eastAsia="宋体"/>
                <w:b/>
                <w:color w:val="0C0C0C"/>
                <w:kern w:val="0"/>
                <w:sz w:val="21"/>
                <w:szCs w:val="21"/>
                <w:lang w:bidi="ar"/>
              </w:rPr>
              <w:t>零售业</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b/>
                <w:color w:val="0C0C0C"/>
                <w:kern w:val="0"/>
                <w:sz w:val="21"/>
                <w:szCs w:val="21"/>
                <w:lang w:bidi="ar"/>
              </w:rPr>
            </w:pPr>
            <w:r>
              <w:rPr>
                <w:rFonts w:eastAsia="宋体"/>
                <w:b/>
                <w:color w:val="0C0C0C"/>
                <w:kern w:val="0"/>
                <w:sz w:val="21"/>
                <w:szCs w:val="21"/>
                <w:lang w:bidi="ar"/>
              </w:rPr>
              <w:t>42185</w:t>
            </w:r>
          </w:p>
        </w:tc>
        <w:tc>
          <w:tcPr>
            <w:tcW w:w="755" w:type="pct"/>
            <w:tcBorders>
              <w:top w:val="nil"/>
              <w:left w:val="single" w:color="auto" w:sz="4" w:space="0"/>
              <w:bottom w:val="nil"/>
              <w:right w:val="nil"/>
            </w:tcBorders>
          </w:tcPr>
          <w:p>
            <w:pPr>
              <w:widowControl/>
              <w:spacing w:line="300" w:lineRule="exact"/>
              <w:ind w:right="57"/>
              <w:jc w:val="right"/>
              <w:rPr>
                <w:rFonts w:eastAsia="宋体"/>
                <w:b/>
                <w:color w:val="0C0C0C"/>
                <w:kern w:val="0"/>
                <w:sz w:val="21"/>
                <w:szCs w:val="21"/>
                <w:lang w:bidi="ar"/>
              </w:rPr>
            </w:pPr>
            <w:r>
              <w:rPr>
                <w:rFonts w:eastAsia="宋体"/>
                <w:b/>
                <w:color w:val="0C0C0C"/>
                <w:kern w:val="0"/>
                <w:sz w:val="21"/>
                <w:szCs w:val="21"/>
                <w:lang w:bidi="ar"/>
              </w:rPr>
              <w:t>24.19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综合零售</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3685</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3.67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食品、饮料及烟草制品专门零售</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7691</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3.40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纺织、服装及日用品专门零售</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4571</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2.14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文化、体育用品及器材专门零售</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3770</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2.30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医药及医疗器材专门零售</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1424</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1.53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汽车、摩托车、零配件和燃料及其他动力销售</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3253</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3.37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家用电器及电子产品专门零售</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7628</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3.54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nil"/>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五金、家具及室内装饰材料专门零售</w:t>
            </w:r>
          </w:p>
        </w:tc>
        <w:tc>
          <w:tcPr>
            <w:tcW w:w="1026" w:type="pct"/>
            <w:tcBorders>
              <w:top w:val="nil"/>
              <w:left w:val="single" w:color="auto" w:sz="4" w:space="0"/>
              <w:bottom w:val="nil"/>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6493</w:t>
            </w:r>
          </w:p>
        </w:tc>
        <w:tc>
          <w:tcPr>
            <w:tcW w:w="755" w:type="pct"/>
            <w:tcBorders>
              <w:top w:val="nil"/>
              <w:left w:val="single" w:color="auto" w:sz="4" w:space="0"/>
              <w:bottom w:val="nil"/>
              <w:right w:val="nil"/>
            </w:tcBorders>
          </w:tcPr>
          <w:p>
            <w:pPr>
              <w:widowControl/>
              <w:spacing w:line="300" w:lineRule="exact"/>
              <w:ind w:right="57"/>
              <w:jc w:val="right"/>
              <w:rPr>
                <w:rFonts w:eastAsia="宋体"/>
                <w:color w:val="0C0C0C"/>
                <w:sz w:val="21"/>
                <w:szCs w:val="21"/>
              </w:rPr>
            </w:pPr>
            <w:r>
              <w:rPr>
                <w:rFonts w:eastAsia="宋体"/>
                <w:color w:val="0C0C0C"/>
                <w:sz w:val="21"/>
                <w:szCs w:val="21"/>
              </w:rPr>
              <w:t>2.18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9" w:type="pct"/>
            <w:tcBorders>
              <w:top w:val="nil"/>
              <w:left w:val="nil"/>
              <w:bottom w:val="single" w:color="auto" w:sz="12" w:space="0"/>
              <w:right w:val="single" w:color="auto" w:sz="4" w:space="0"/>
            </w:tcBorders>
            <w:vAlign w:val="center"/>
          </w:tcPr>
          <w:p>
            <w:pPr>
              <w:widowControl/>
              <w:spacing w:line="300" w:lineRule="exact"/>
              <w:ind w:right="57" w:firstLine="420"/>
              <w:jc w:val="left"/>
              <w:rPr>
                <w:rFonts w:eastAsia="宋体"/>
                <w:color w:val="0C0C0C"/>
                <w:sz w:val="21"/>
                <w:szCs w:val="21"/>
              </w:rPr>
            </w:pPr>
            <w:r>
              <w:rPr>
                <w:rFonts w:eastAsia="宋体"/>
                <w:color w:val="0C0C0C"/>
                <w:kern w:val="0"/>
                <w:sz w:val="21"/>
                <w:szCs w:val="21"/>
                <w:lang w:bidi="ar"/>
              </w:rPr>
              <w:t>货摊、无店铺及其他零售业</w:t>
            </w:r>
          </w:p>
        </w:tc>
        <w:tc>
          <w:tcPr>
            <w:tcW w:w="1026" w:type="pct"/>
            <w:tcBorders>
              <w:top w:val="nil"/>
              <w:left w:val="single" w:color="auto" w:sz="4" w:space="0"/>
              <w:bottom w:val="single" w:color="auto" w:sz="12" w:space="0"/>
              <w:right w:val="single" w:color="auto" w:sz="4" w:space="0"/>
            </w:tcBorders>
          </w:tcPr>
          <w:p>
            <w:pPr>
              <w:widowControl/>
              <w:spacing w:line="300" w:lineRule="exact"/>
              <w:ind w:right="57"/>
              <w:jc w:val="right"/>
              <w:rPr>
                <w:rFonts w:eastAsia="宋体"/>
                <w:color w:val="0C0C0C"/>
                <w:sz w:val="21"/>
                <w:szCs w:val="21"/>
              </w:rPr>
            </w:pPr>
            <w:r>
              <w:rPr>
                <w:rFonts w:eastAsia="宋体"/>
                <w:color w:val="0C0C0C"/>
                <w:sz w:val="21"/>
                <w:szCs w:val="21"/>
              </w:rPr>
              <w:t>3670</w:t>
            </w:r>
          </w:p>
        </w:tc>
        <w:tc>
          <w:tcPr>
            <w:tcW w:w="755" w:type="pct"/>
            <w:tcBorders>
              <w:top w:val="nil"/>
              <w:left w:val="single" w:color="auto" w:sz="4" w:space="0"/>
              <w:bottom w:val="single" w:color="auto" w:sz="12" w:space="0"/>
              <w:right w:val="nil"/>
            </w:tcBorders>
          </w:tcPr>
          <w:p>
            <w:pPr>
              <w:widowControl/>
              <w:spacing w:line="300" w:lineRule="exact"/>
              <w:ind w:right="57"/>
              <w:jc w:val="right"/>
              <w:rPr>
                <w:rFonts w:eastAsia="宋体"/>
                <w:color w:val="0C0C0C"/>
                <w:sz w:val="21"/>
                <w:szCs w:val="21"/>
              </w:rPr>
            </w:pPr>
            <w:r>
              <w:rPr>
                <w:rFonts w:eastAsia="宋体"/>
                <w:color w:val="0C0C0C"/>
                <w:sz w:val="21"/>
                <w:szCs w:val="21"/>
              </w:rPr>
              <w:t>2.06</w:t>
            </w:r>
          </w:p>
        </w:tc>
      </w:tr>
    </w:tbl>
    <w:p>
      <w:pPr>
        <w:pStyle w:val="2"/>
        <w:adjustRightInd/>
        <w:spacing w:line="600" w:lineRule="exact"/>
        <w:ind w:firstLine="608"/>
        <w:textAlignment w:val="center"/>
        <w:rPr>
          <w:rFonts w:eastAsia="仿宋_GB2312"/>
          <w:color w:val="0C0C0C"/>
          <w:spacing w:val="-6"/>
          <w:sz w:val="32"/>
          <w:szCs w:val="32"/>
        </w:rPr>
      </w:pPr>
      <w:r>
        <w:rPr>
          <w:rFonts w:eastAsia="仿宋_GB2312"/>
          <w:color w:val="0C0C0C"/>
          <w:spacing w:val="-6"/>
          <w:sz w:val="32"/>
          <w:szCs w:val="32"/>
        </w:rPr>
        <w:t>在批发和零售业企业法人单位中，内资企业占97.7%，港澳台投资企业占0.3%，外商投资企业占0.4%。</w:t>
      </w:r>
    </w:p>
    <w:p>
      <w:pPr>
        <w:pStyle w:val="2"/>
        <w:adjustRightInd/>
        <w:spacing w:line="600" w:lineRule="exact"/>
        <w:ind w:firstLine="608"/>
        <w:textAlignment w:val="center"/>
        <w:rPr>
          <w:rFonts w:eastAsia="仿宋_GB2312"/>
        </w:rPr>
      </w:pPr>
      <w:r>
        <w:rPr>
          <w:rFonts w:eastAsia="仿宋_GB2312"/>
          <w:color w:val="0C0C0C"/>
          <w:spacing w:val="-6"/>
          <w:sz w:val="32"/>
          <w:szCs w:val="32"/>
        </w:rPr>
        <w:t>在批发和零售业企业法人单位从业人员中，内资企业占92.0%，港澳台投资企业占1.7%，外商投资企业占5.2%（详见表4-2）。</w:t>
      </w:r>
    </w:p>
    <w:p>
      <w:pPr>
        <w:widowControl/>
        <w:spacing w:line="320" w:lineRule="exact"/>
        <w:jc w:val="center"/>
        <w:rPr>
          <w:rFonts w:eastAsia="宋体"/>
          <w:b/>
          <w:color w:val="0C0C0C"/>
          <w:kern w:val="0"/>
          <w:sz w:val="24"/>
          <w:lang w:bidi="ar"/>
        </w:rPr>
      </w:pPr>
      <w:r>
        <w:rPr>
          <w:rFonts w:eastAsia="宋体"/>
          <w:b/>
          <w:color w:val="0C0C0C"/>
          <w:kern w:val="0"/>
          <w:sz w:val="24"/>
          <w:lang w:bidi="ar"/>
        </w:rPr>
        <w:t>表4-2　按登记注册统计类别分组的批发和零售业</w:t>
      </w:r>
    </w:p>
    <w:p>
      <w:pPr>
        <w:widowControl/>
        <w:spacing w:line="320" w:lineRule="exact"/>
        <w:jc w:val="center"/>
        <w:rPr>
          <w:rFonts w:eastAsia="宋体"/>
          <w:b/>
          <w:color w:val="0C0C0C"/>
          <w:kern w:val="0"/>
          <w:sz w:val="24"/>
          <w:lang w:bidi="ar"/>
        </w:rPr>
      </w:pPr>
      <w:r>
        <w:rPr>
          <w:rFonts w:eastAsia="宋体"/>
          <w:b/>
          <w:color w:val="0C0C0C"/>
          <w:kern w:val="0"/>
          <w:sz w:val="24"/>
          <w:lang w:bidi="ar"/>
        </w:rPr>
        <w:t xml:space="preserve"> 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61"/>
        <w:gridCol w:w="2742"/>
        <w:gridCol w:w="23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27" w:type="pct"/>
            <w:tcBorders>
              <w:top w:val="single" w:color="auto" w:sz="12" w:space="0"/>
              <w:left w:val="nil"/>
              <w:bottom w:val="single" w:color="auto" w:sz="4" w:space="0"/>
              <w:right w:val="single" w:color="auto" w:sz="4" w:space="0"/>
            </w:tcBorders>
            <w:vAlign w:val="center"/>
          </w:tcPr>
          <w:p>
            <w:pPr>
              <w:widowControl/>
              <w:spacing w:line="320" w:lineRule="exact"/>
              <w:ind w:left="57" w:right="57" w:firstLine="500"/>
              <w:jc w:val="center"/>
              <w:rPr>
                <w:rFonts w:eastAsia="宋体"/>
                <w:color w:val="0C0C0C"/>
                <w:sz w:val="21"/>
                <w:szCs w:val="21"/>
              </w:rPr>
            </w:pPr>
            <w:r>
              <w:rPr>
                <w:rFonts w:eastAsia="宋体"/>
                <w:color w:val="0C0C0C"/>
                <w:kern w:val="0"/>
                <w:sz w:val="21"/>
                <w:szCs w:val="21"/>
                <w:lang w:bidi="ar"/>
              </w:rPr>
              <w:t>　</w:t>
            </w:r>
          </w:p>
        </w:tc>
        <w:tc>
          <w:tcPr>
            <w:tcW w:w="1551"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1322"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从业人员</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2127" w:type="pct"/>
            <w:tcBorders>
              <w:top w:val="single" w:color="auto" w:sz="4" w:space="0"/>
              <w:left w:val="nil"/>
              <w:bottom w:val="nil"/>
              <w:right w:val="single" w:color="auto" w:sz="4" w:space="0"/>
            </w:tcBorders>
            <w:vAlign w:val="center"/>
          </w:tcPr>
          <w:p>
            <w:pPr>
              <w:widowControl/>
              <w:spacing w:line="320" w:lineRule="exact"/>
              <w:ind w:right="57"/>
              <w:jc w:val="center"/>
              <w:rPr>
                <w:rFonts w:eastAsia="宋体"/>
                <w:color w:val="0C0C0C"/>
                <w:sz w:val="21"/>
                <w:szCs w:val="21"/>
              </w:rPr>
            </w:pPr>
            <w:r>
              <w:rPr>
                <w:rFonts w:eastAsia="宋体"/>
                <w:b/>
                <w:color w:val="0C0C0C"/>
                <w:kern w:val="0"/>
                <w:sz w:val="21"/>
                <w:szCs w:val="21"/>
                <w:lang w:bidi="ar"/>
              </w:rPr>
              <w:t>合　计</w:t>
            </w:r>
          </w:p>
        </w:tc>
        <w:tc>
          <w:tcPr>
            <w:tcW w:w="1551" w:type="pct"/>
            <w:tcBorders>
              <w:top w:val="single" w:color="auto" w:sz="4" w:space="0"/>
              <w:left w:val="single" w:color="auto" w:sz="4" w:space="0"/>
              <w:bottom w:val="nil"/>
              <w:right w:val="single" w:color="auto" w:sz="4" w:space="0"/>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111421</w:t>
            </w:r>
          </w:p>
        </w:tc>
        <w:tc>
          <w:tcPr>
            <w:tcW w:w="1322" w:type="pct"/>
            <w:tcBorders>
              <w:top w:val="single" w:color="auto" w:sz="4" w:space="0"/>
              <w:left w:val="single" w:color="auto" w:sz="4" w:space="0"/>
              <w:bottom w:val="nil"/>
              <w:right w:val="nil"/>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60.36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7" w:type="pct"/>
            <w:tcBorders>
              <w:top w:val="nil"/>
              <w:left w:val="nil"/>
              <w:bottom w:val="nil"/>
              <w:right w:val="single" w:color="auto" w:sz="4" w:space="0"/>
            </w:tcBorders>
            <w:vAlign w:val="center"/>
          </w:tcPr>
          <w:p>
            <w:pPr>
              <w:widowControl/>
              <w:spacing w:line="320" w:lineRule="exact"/>
              <w:ind w:right="57"/>
              <w:jc w:val="left"/>
              <w:rPr>
                <w:rFonts w:eastAsia="宋体"/>
                <w:bCs/>
                <w:color w:val="0C0C0C"/>
                <w:sz w:val="21"/>
                <w:szCs w:val="21"/>
              </w:rPr>
            </w:pPr>
            <w:r>
              <w:rPr>
                <w:rFonts w:eastAsia="宋体"/>
                <w:bCs/>
                <w:color w:val="0C0C0C"/>
                <w:kern w:val="0"/>
                <w:sz w:val="21"/>
                <w:szCs w:val="21"/>
                <w:lang w:bidi="ar"/>
              </w:rPr>
              <w:t>内资企业</w:t>
            </w:r>
          </w:p>
        </w:tc>
        <w:tc>
          <w:tcPr>
            <w:tcW w:w="1551" w:type="pct"/>
            <w:tcBorders>
              <w:top w:val="nil"/>
              <w:left w:val="single" w:color="auto" w:sz="4" w:space="0"/>
              <w:bottom w:val="nil"/>
              <w:right w:val="single" w:color="auto" w:sz="4" w:space="0"/>
            </w:tcBorders>
          </w:tcPr>
          <w:p>
            <w:pPr>
              <w:widowControl/>
              <w:spacing w:line="320" w:lineRule="exact"/>
              <w:ind w:right="57"/>
              <w:jc w:val="right"/>
              <w:rPr>
                <w:rFonts w:eastAsia="宋体"/>
                <w:bCs/>
                <w:color w:val="0C0C0C"/>
                <w:sz w:val="21"/>
                <w:szCs w:val="21"/>
              </w:rPr>
            </w:pPr>
            <w:r>
              <w:rPr>
                <w:rFonts w:eastAsia="宋体"/>
                <w:bCs/>
                <w:color w:val="0C0C0C"/>
                <w:sz w:val="21"/>
                <w:szCs w:val="21"/>
              </w:rPr>
              <w:t>108899</w:t>
            </w:r>
          </w:p>
        </w:tc>
        <w:tc>
          <w:tcPr>
            <w:tcW w:w="1322" w:type="pct"/>
            <w:tcBorders>
              <w:top w:val="nil"/>
              <w:left w:val="single" w:color="auto" w:sz="4" w:space="0"/>
              <w:bottom w:val="nil"/>
              <w:right w:val="nil"/>
            </w:tcBorders>
          </w:tcPr>
          <w:p>
            <w:pPr>
              <w:widowControl/>
              <w:spacing w:line="320" w:lineRule="exact"/>
              <w:ind w:right="57"/>
              <w:jc w:val="right"/>
              <w:rPr>
                <w:rFonts w:eastAsia="宋体"/>
                <w:bCs/>
                <w:color w:val="0C0C0C"/>
                <w:sz w:val="21"/>
                <w:szCs w:val="21"/>
              </w:rPr>
            </w:pPr>
            <w:r>
              <w:rPr>
                <w:rFonts w:eastAsia="宋体"/>
                <w:bCs/>
                <w:color w:val="0C0C0C"/>
                <w:sz w:val="21"/>
                <w:szCs w:val="21"/>
              </w:rPr>
              <w:t>55.54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7" w:type="pct"/>
            <w:tcBorders>
              <w:top w:val="nil"/>
              <w:left w:val="nil"/>
              <w:bottom w:val="nil"/>
              <w:right w:val="single" w:color="auto" w:sz="4" w:space="0"/>
            </w:tcBorders>
            <w:vAlign w:val="center"/>
          </w:tcPr>
          <w:p>
            <w:pPr>
              <w:widowControl/>
              <w:spacing w:line="320" w:lineRule="exact"/>
              <w:ind w:right="57"/>
              <w:jc w:val="left"/>
              <w:rPr>
                <w:rFonts w:eastAsia="宋体"/>
                <w:bCs/>
                <w:color w:val="0C0C0C"/>
                <w:sz w:val="21"/>
                <w:szCs w:val="21"/>
              </w:rPr>
            </w:pPr>
            <w:r>
              <w:rPr>
                <w:rFonts w:eastAsia="宋体"/>
                <w:bCs/>
                <w:color w:val="0C0C0C"/>
                <w:kern w:val="0"/>
                <w:sz w:val="21"/>
                <w:szCs w:val="21"/>
                <w:lang w:bidi="ar"/>
              </w:rPr>
              <w:t>港澳台投资企业</w:t>
            </w:r>
          </w:p>
        </w:tc>
        <w:tc>
          <w:tcPr>
            <w:tcW w:w="1551" w:type="pct"/>
            <w:tcBorders>
              <w:top w:val="nil"/>
              <w:left w:val="single" w:color="auto" w:sz="4" w:space="0"/>
              <w:bottom w:val="nil"/>
              <w:right w:val="single" w:color="auto" w:sz="4" w:space="0"/>
            </w:tcBorders>
          </w:tcPr>
          <w:p>
            <w:pPr>
              <w:widowControl/>
              <w:spacing w:line="320" w:lineRule="exact"/>
              <w:ind w:right="57"/>
              <w:jc w:val="right"/>
              <w:rPr>
                <w:rFonts w:eastAsia="宋体"/>
                <w:bCs/>
                <w:color w:val="0C0C0C"/>
                <w:sz w:val="21"/>
                <w:szCs w:val="21"/>
              </w:rPr>
            </w:pPr>
            <w:r>
              <w:rPr>
                <w:rFonts w:eastAsia="宋体"/>
                <w:bCs/>
                <w:color w:val="0C0C0C"/>
                <w:sz w:val="21"/>
                <w:szCs w:val="21"/>
              </w:rPr>
              <w:t>285</w:t>
            </w:r>
          </w:p>
        </w:tc>
        <w:tc>
          <w:tcPr>
            <w:tcW w:w="1322" w:type="pct"/>
            <w:tcBorders>
              <w:top w:val="nil"/>
              <w:left w:val="single" w:color="auto" w:sz="4" w:space="0"/>
              <w:bottom w:val="nil"/>
              <w:right w:val="nil"/>
            </w:tcBorders>
          </w:tcPr>
          <w:p>
            <w:pPr>
              <w:widowControl/>
              <w:spacing w:line="320" w:lineRule="exact"/>
              <w:ind w:right="57"/>
              <w:jc w:val="right"/>
              <w:rPr>
                <w:rFonts w:eastAsia="宋体"/>
                <w:bCs/>
                <w:color w:val="0C0C0C"/>
                <w:sz w:val="21"/>
                <w:szCs w:val="21"/>
              </w:rPr>
            </w:pPr>
            <w:r>
              <w:rPr>
                <w:rFonts w:eastAsia="宋体"/>
                <w:bCs/>
                <w:color w:val="0C0C0C"/>
                <w:sz w:val="21"/>
                <w:szCs w:val="21"/>
              </w:rPr>
              <w:t>1.04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7" w:type="pct"/>
            <w:tcBorders>
              <w:top w:val="nil"/>
              <w:left w:val="nil"/>
              <w:bottom w:val="nil"/>
              <w:right w:val="single" w:color="auto" w:sz="4" w:space="0"/>
            </w:tcBorders>
            <w:vAlign w:val="center"/>
          </w:tcPr>
          <w:p>
            <w:pPr>
              <w:widowControl/>
              <w:spacing w:line="320" w:lineRule="exact"/>
              <w:ind w:right="57"/>
              <w:jc w:val="left"/>
              <w:rPr>
                <w:rFonts w:eastAsia="宋体"/>
                <w:bCs/>
                <w:color w:val="0C0C0C"/>
                <w:sz w:val="21"/>
                <w:szCs w:val="21"/>
              </w:rPr>
            </w:pPr>
            <w:r>
              <w:rPr>
                <w:rFonts w:eastAsia="宋体"/>
                <w:bCs/>
                <w:color w:val="0C0C0C"/>
                <w:kern w:val="0"/>
                <w:sz w:val="21"/>
                <w:szCs w:val="21"/>
                <w:lang w:bidi="ar"/>
              </w:rPr>
              <w:t>外商投资企业</w:t>
            </w:r>
          </w:p>
        </w:tc>
        <w:tc>
          <w:tcPr>
            <w:tcW w:w="1551" w:type="pct"/>
            <w:tcBorders>
              <w:top w:val="nil"/>
              <w:left w:val="single" w:color="auto" w:sz="4" w:space="0"/>
              <w:bottom w:val="nil"/>
              <w:right w:val="single" w:color="auto" w:sz="4" w:space="0"/>
            </w:tcBorders>
          </w:tcPr>
          <w:p>
            <w:pPr>
              <w:widowControl/>
              <w:spacing w:line="320" w:lineRule="exact"/>
              <w:ind w:right="57"/>
              <w:jc w:val="right"/>
              <w:rPr>
                <w:rFonts w:eastAsia="宋体"/>
                <w:bCs/>
                <w:color w:val="0C0C0C"/>
                <w:sz w:val="21"/>
                <w:szCs w:val="21"/>
              </w:rPr>
            </w:pPr>
            <w:r>
              <w:rPr>
                <w:rFonts w:eastAsia="宋体"/>
                <w:bCs/>
                <w:color w:val="0C0C0C"/>
                <w:sz w:val="21"/>
                <w:szCs w:val="21"/>
              </w:rPr>
              <w:t xml:space="preserve">395 </w:t>
            </w:r>
          </w:p>
        </w:tc>
        <w:tc>
          <w:tcPr>
            <w:tcW w:w="1322" w:type="pct"/>
            <w:tcBorders>
              <w:top w:val="nil"/>
              <w:left w:val="single" w:color="auto" w:sz="4" w:space="0"/>
              <w:bottom w:val="nil"/>
              <w:right w:val="nil"/>
            </w:tcBorders>
          </w:tcPr>
          <w:p>
            <w:pPr>
              <w:widowControl/>
              <w:spacing w:line="320" w:lineRule="exact"/>
              <w:ind w:right="57"/>
              <w:jc w:val="right"/>
              <w:rPr>
                <w:rFonts w:eastAsia="宋体"/>
                <w:bCs/>
                <w:color w:val="0C0C0C"/>
                <w:sz w:val="21"/>
                <w:szCs w:val="21"/>
              </w:rPr>
            </w:pPr>
            <w:r>
              <w:rPr>
                <w:rFonts w:eastAsia="宋体"/>
                <w:bCs/>
                <w:color w:val="0C0C0C"/>
                <w:sz w:val="21"/>
                <w:szCs w:val="21"/>
              </w:rPr>
              <w:t>3.15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7" w:type="pct"/>
            <w:tcBorders>
              <w:top w:val="nil"/>
              <w:left w:val="nil"/>
              <w:bottom w:val="single" w:color="auto" w:sz="12" w:space="0"/>
              <w:right w:val="single" w:color="auto" w:sz="4" w:space="0"/>
            </w:tcBorders>
            <w:vAlign w:val="center"/>
          </w:tcPr>
          <w:p>
            <w:pPr>
              <w:widowControl/>
              <w:spacing w:line="320" w:lineRule="exact"/>
              <w:ind w:right="57"/>
              <w:jc w:val="left"/>
              <w:rPr>
                <w:rFonts w:eastAsia="宋体"/>
                <w:bCs/>
                <w:color w:val="0C0C0C"/>
                <w:kern w:val="0"/>
                <w:sz w:val="21"/>
                <w:szCs w:val="21"/>
                <w:lang w:bidi="ar"/>
              </w:rPr>
            </w:pPr>
            <w:r>
              <w:rPr>
                <w:rFonts w:eastAsia="宋体"/>
                <w:bCs/>
                <w:color w:val="0C0C0C"/>
                <w:sz w:val="21"/>
                <w:szCs w:val="21"/>
              </w:rPr>
              <w:t>其他统计类别</w:t>
            </w:r>
          </w:p>
        </w:tc>
        <w:tc>
          <w:tcPr>
            <w:tcW w:w="1551" w:type="pct"/>
            <w:tcBorders>
              <w:top w:val="nil"/>
              <w:left w:val="single" w:color="auto" w:sz="4" w:space="0"/>
              <w:bottom w:val="single" w:color="auto" w:sz="12" w:space="0"/>
              <w:right w:val="single" w:color="auto" w:sz="4" w:space="0"/>
            </w:tcBorders>
          </w:tcPr>
          <w:p>
            <w:pPr>
              <w:widowControl/>
              <w:spacing w:line="320" w:lineRule="exact"/>
              <w:ind w:right="57"/>
              <w:jc w:val="right"/>
              <w:rPr>
                <w:rFonts w:eastAsia="宋体"/>
                <w:bCs/>
                <w:color w:val="0C0C0C"/>
                <w:sz w:val="21"/>
                <w:szCs w:val="21"/>
              </w:rPr>
            </w:pPr>
            <w:r>
              <w:rPr>
                <w:rFonts w:eastAsia="宋体"/>
                <w:bCs/>
                <w:color w:val="0C0C0C"/>
                <w:sz w:val="21"/>
                <w:szCs w:val="21"/>
              </w:rPr>
              <w:t xml:space="preserve">1845 </w:t>
            </w:r>
          </w:p>
        </w:tc>
        <w:tc>
          <w:tcPr>
            <w:tcW w:w="1322" w:type="pct"/>
            <w:tcBorders>
              <w:top w:val="nil"/>
              <w:left w:val="single" w:color="auto" w:sz="4" w:space="0"/>
              <w:bottom w:val="single" w:color="auto" w:sz="12" w:space="0"/>
              <w:right w:val="nil"/>
            </w:tcBorders>
          </w:tcPr>
          <w:p>
            <w:pPr>
              <w:widowControl/>
              <w:spacing w:line="320" w:lineRule="exact"/>
              <w:ind w:right="57"/>
              <w:jc w:val="right"/>
              <w:rPr>
                <w:rFonts w:eastAsia="宋体"/>
                <w:bCs/>
                <w:color w:val="0C0C0C"/>
                <w:sz w:val="21"/>
                <w:szCs w:val="21"/>
              </w:rPr>
            </w:pPr>
            <w:r>
              <w:rPr>
                <w:rFonts w:eastAsia="宋体"/>
                <w:bCs/>
                <w:color w:val="0C0C0C"/>
                <w:sz w:val="21"/>
                <w:szCs w:val="21"/>
              </w:rPr>
              <w:t>0.63</w:t>
            </w:r>
          </w:p>
        </w:tc>
      </w:tr>
    </w:tbl>
    <w:p>
      <w:pPr>
        <w:widowControl/>
        <w:adjustRightInd w:val="0"/>
        <w:snapToGrid w:val="0"/>
        <w:spacing w:line="520" w:lineRule="exact"/>
        <w:ind w:firstLine="640"/>
        <w:rPr>
          <w:rFonts w:eastAsia="楷体_GB2312"/>
          <w:color w:val="0C0C0C"/>
          <w:kern w:val="0"/>
          <w:szCs w:val="32"/>
          <w:lang w:bidi="ar"/>
        </w:rPr>
      </w:pPr>
      <w:r>
        <w:rPr>
          <w:rFonts w:eastAsia="楷体_GB2312"/>
          <w:color w:val="0C0C0C"/>
          <w:kern w:val="0"/>
          <w:szCs w:val="32"/>
          <w:lang w:bidi="ar"/>
        </w:rPr>
        <w:t>（二）主要经济指标</w:t>
      </w:r>
    </w:p>
    <w:p>
      <w:pPr>
        <w:pStyle w:val="2"/>
        <w:snapToGrid w:val="0"/>
        <w:spacing w:line="520" w:lineRule="exact"/>
        <w:ind w:firstLine="632"/>
        <w:textAlignment w:val="center"/>
        <w:rPr>
          <w:rFonts w:eastAsia="仿宋_GB2312"/>
          <w:color w:val="0C0C0C"/>
          <w:spacing w:val="-6"/>
          <w:sz w:val="32"/>
          <w:szCs w:val="32"/>
        </w:rPr>
      </w:pPr>
      <w:r>
        <w:rPr>
          <w:rFonts w:eastAsia="仿宋_GB2312"/>
          <w:color w:val="0C0C0C"/>
          <w:kern w:val="2"/>
          <w:sz w:val="32"/>
          <w:szCs w:val="32"/>
        </w:rPr>
        <w:t>2023</w:t>
      </w:r>
      <w:r>
        <w:rPr>
          <w:rFonts w:eastAsia="仿宋_GB2312"/>
          <w:color w:val="0C0C0C"/>
          <w:spacing w:val="-6"/>
          <w:sz w:val="32"/>
          <w:szCs w:val="32"/>
        </w:rPr>
        <w:t>年末，批发和零售业企业法人单位资产总计</w:t>
      </w:r>
      <w:r>
        <w:rPr>
          <w:rFonts w:eastAsia="仿宋_GB2312"/>
          <w:color w:val="0C0C0C"/>
          <w:sz w:val="32"/>
          <w:szCs w:val="32"/>
        </w:rPr>
        <w:t>17454.27亿元，比2018年末增长54.5%；负债合计12473.16亿元，比2018年末增长52.8%</w:t>
      </w:r>
      <w:r>
        <w:rPr>
          <w:rFonts w:eastAsia="仿宋_GB2312"/>
          <w:color w:val="0C0C0C"/>
          <w:spacing w:val="-6"/>
          <w:sz w:val="32"/>
          <w:szCs w:val="32"/>
        </w:rPr>
        <w:t>。</w:t>
      </w:r>
    </w:p>
    <w:p>
      <w:pPr>
        <w:pStyle w:val="2"/>
        <w:snapToGrid w:val="0"/>
        <w:spacing w:line="520" w:lineRule="exact"/>
        <w:ind w:firstLine="632"/>
        <w:textAlignment w:val="center"/>
        <w:rPr>
          <w:rFonts w:eastAsia="仿宋_GB2312"/>
        </w:rPr>
      </w:pPr>
      <w:r>
        <w:rPr>
          <w:rFonts w:eastAsia="仿宋_GB2312"/>
          <w:color w:val="0C0C0C"/>
          <w:kern w:val="2"/>
          <w:sz w:val="32"/>
          <w:szCs w:val="32"/>
        </w:rPr>
        <w:t>2023</w:t>
      </w:r>
      <w:r>
        <w:rPr>
          <w:rFonts w:eastAsia="仿宋_GB2312"/>
          <w:color w:val="0C0C0C"/>
          <w:spacing w:val="-6"/>
          <w:sz w:val="32"/>
          <w:szCs w:val="32"/>
        </w:rPr>
        <w:t>年，批发和零售业企业法人单位实现营业收入</w:t>
      </w:r>
      <w:r>
        <w:rPr>
          <w:rFonts w:eastAsia="仿宋_GB2312"/>
          <w:color w:val="0C0C0C"/>
          <w:sz w:val="32"/>
          <w:szCs w:val="32"/>
        </w:rPr>
        <w:t>23962.26亿元，比2018年增长47.5%</w:t>
      </w:r>
      <w:r>
        <w:rPr>
          <w:rFonts w:eastAsia="仿宋_GB2312"/>
          <w:color w:val="0C0C0C"/>
          <w:spacing w:val="-6"/>
          <w:sz w:val="32"/>
          <w:szCs w:val="32"/>
        </w:rPr>
        <w:t>（详见表</w:t>
      </w:r>
      <w:r>
        <w:rPr>
          <w:rFonts w:eastAsia="仿宋_GB2312"/>
          <w:color w:val="0C0C0C"/>
          <w:kern w:val="2"/>
          <w:sz w:val="32"/>
          <w:szCs w:val="32"/>
        </w:rPr>
        <w:t>4-3</w:t>
      </w:r>
      <w:r>
        <w:rPr>
          <w:rFonts w:eastAsia="仿宋_GB2312"/>
          <w:color w:val="0C0C0C"/>
          <w:spacing w:val="-6"/>
          <w:sz w:val="32"/>
          <w:szCs w:val="32"/>
        </w:rPr>
        <w:t>）。</w:t>
      </w:r>
    </w:p>
    <w:p>
      <w:pPr>
        <w:widowControl/>
        <w:spacing w:before="173" w:beforeLines="30" w:line="340" w:lineRule="exact"/>
        <w:jc w:val="center"/>
        <w:rPr>
          <w:rFonts w:eastAsia="宋体"/>
          <w:b/>
          <w:color w:val="0C0C0C"/>
          <w:kern w:val="0"/>
          <w:sz w:val="24"/>
          <w:lang w:bidi="ar"/>
        </w:rPr>
      </w:pPr>
      <w:r>
        <w:rPr>
          <w:rFonts w:eastAsia="宋体"/>
          <w:b/>
          <w:color w:val="0C0C0C"/>
          <w:kern w:val="0"/>
          <w:sz w:val="24"/>
          <w:lang w:bidi="ar"/>
        </w:rPr>
        <w:t>表4-3　按行业中类分组的批发和零售业</w:t>
      </w:r>
    </w:p>
    <w:p>
      <w:pPr>
        <w:widowControl/>
        <w:spacing w:line="340" w:lineRule="exact"/>
        <w:jc w:val="center"/>
        <w:rPr>
          <w:rFonts w:eastAsia="宋体"/>
          <w:b/>
          <w:color w:val="0C0C0C"/>
          <w:kern w:val="0"/>
          <w:sz w:val="24"/>
          <w:lang w:bidi="ar"/>
        </w:rPr>
      </w:pPr>
      <w:r>
        <w:rPr>
          <w:rFonts w:eastAsia="宋体"/>
          <w:b/>
          <w:color w:val="0C0C0C"/>
          <w:kern w:val="0"/>
          <w:sz w:val="24"/>
          <w:lang w:bidi="ar"/>
        </w:rPr>
        <w:t xml:space="preserve">      企业法人单位主要经济指标</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551"/>
        <w:gridCol w:w="1431"/>
        <w:gridCol w:w="1431"/>
        <w:gridCol w:w="14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697" w:type="pct"/>
            <w:tcBorders>
              <w:top w:val="single" w:color="auto" w:sz="12" w:space="0"/>
              <w:left w:val="nil"/>
              <w:bottom w:val="single" w:color="auto" w:sz="4" w:space="0"/>
              <w:right w:val="single" w:color="auto" w:sz="4" w:space="0"/>
            </w:tcBorders>
            <w:vAlign w:val="center"/>
          </w:tcPr>
          <w:p>
            <w:pPr>
              <w:widowControl/>
              <w:spacing w:line="320" w:lineRule="exact"/>
              <w:ind w:left="57" w:right="57" w:firstLine="500"/>
              <w:jc w:val="center"/>
              <w:rPr>
                <w:rFonts w:eastAsia="宋体"/>
                <w:color w:val="0C0C0C"/>
                <w:sz w:val="21"/>
                <w:szCs w:val="21"/>
              </w:rPr>
            </w:pPr>
            <w:r>
              <w:rPr>
                <w:rFonts w:eastAsia="宋体"/>
                <w:color w:val="0C0C0C"/>
                <w:kern w:val="0"/>
                <w:sz w:val="21"/>
                <w:szCs w:val="21"/>
                <w:lang w:bidi="ar"/>
              </w:rPr>
              <w:t>　</w:t>
            </w:r>
          </w:p>
        </w:tc>
        <w:tc>
          <w:tcPr>
            <w:tcW w:w="736"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资产总计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817"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负债合计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750"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营业收入</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single" w:color="auto" w:sz="4" w:space="0"/>
              <w:left w:val="nil"/>
              <w:bottom w:val="nil"/>
              <w:right w:val="single" w:color="auto" w:sz="4" w:space="0"/>
            </w:tcBorders>
            <w:vAlign w:val="center"/>
          </w:tcPr>
          <w:p>
            <w:pPr>
              <w:widowControl/>
              <w:spacing w:line="340" w:lineRule="exact"/>
              <w:ind w:left="57" w:right="57"/>
              <w:jc w:val="center"/>
              <w:rPr>
                <w:rFonts w:eastAsia="宋体"/>
                <w:color w:val="0C0C0C"/>
                <w:sz w:val="21"/>
                <w:szCs w:val="21"/>
              </w:rPr>
            </w:pPr>
            <w:r>
              <w:rPr>
                <w:rFonts w:eastAsia="宋体"/>
                <w:b/>
                <w:color w:val="0C0C0C"/>
                <w:kern w:val="0"/>
                <w:sz w:val="21"/>
                <w:szCs w:val="21"/>
                <w:lang w:bidi="ar"/>
              </w:rPr>
              <w:t>合　计</w:t>
            </w:r>
          </w:p>
        </w:tc>
        <w:tc>
          <w:tcPr>
            <w:tcW w:w="736" w:type="pct"/>
            <w:tcBorders>
              <w:top w:val="single" w:color="auto" w:sz="4" w:space="0"/>
              <w:left w:val="single" w:color="auto" w:sz="4" w:space="0"/>
              <w:bottom w:val="nil"/>
              <w:right w:val="single" w:color="auto" w:sz="4" w:space="0"/>
            </w:tcBorders>
          </w:tcPr>
          <w:p>
            <w:pPr>
              <w:widowControl/>
              <w:spacing w:line="340" w:lineRule="exact"/>
              <w:ind w:left="57" w:right="57"/>
              <w:jc w:val="right"/>
              <w:rPr>
                <w:rFonts w:eastAsia="宋体"/>
                <w:b/>
                <w:color w:val="0C0C0C"/>
                <w:kern w:val="0"/>
                <w:sz w:val="21"/>
                <w:szCs w:val="21"/>
                <w:lang w:bidi="ar"/>
              </w:rPr>
            </w:pPr>
            <w:r>
              <w:rPr>
                <w:rFonts w:eastAsia="宋体"/>
                <w:b/>
                <w:color w:val="0C0C0C"/>
                <w:kern w:val="0"/>
                <w:sz w:val="21"/>
                <w:szCs w:val="21"/>
                <w:lang w:bidi="ar"/>
              </w:rPr>
              <w:t>17454.27</w:t>
            </w:r>
          </w:p>
        </w:tc>
        <w:tc>
          <w:tcPr>
            <w:tcW w:w="817" w:type="pct"/>
            <w:tcBorders>
              <w:top w:val="single" w:color="auto" w:sz="4" w:space="0"/>
              <w:left w:val="single" w:color="auto" w:sz="4" w:space="0"/>
              <w:bottom w:val="nil"/>
              <w:right w:val="single" w:color="auto" w:sz="4" w:space="0"/>
            </w:tcBorders>
          </w:tcPr>
          <w:p>
            <w:pPr>
              <w:widowControl/>
              <w:spacing w:line="340" w:lineRule="exact"/>
              <w:ind w:left="57" w:right="57"/>
              <w:jc w:val="right"/>
              <w:rPr>
                <w:rFonts w:eastAsia="宋体"/>
                <w:b/>
                <w:color w:val="0C0C0C"/>
                <w:kern w:val="0"/>
                <w:sz w:val="21"/>
                <w:szCs w:val="21"/>
                <w:lang w:bidi="ar"/>
              </w:rPr>
            </w:pPr>
            <w:r>
              <w:rPr>
                <w:rFonts w:eastAsia="宋体"/>
                <w:b/>
                <w:color w:val="0C0C0C"/>
                <w:kern w:val="0"/>
                <w:sz w:val="21"/>
                <w:szCs w:val="21"/>
                <w:lang w:bidi="ar"/>
              </w:rPr>
              <w:t>12473.16</w:t>
            </w:r>
          </w:p>
        </w:tc>
        <w:tc>
          <w:tcPr>
            <w:tcW w:w="750" w:type="pct"/>
            <w:tcBorders>
              <w:top w:val="single" w:color="auto" w:sz="4" w:space="0"/>
              <w:left w:val="single" w:color="auto" w:sz="4" w:space="0"/>
              <w:bottom w:val="nil"/>
              <w:right w:val="nil"/>
            </w:tcBorders>
          </w:tcPr>
          <w:p>
            <w:pPr>
              <w:widowControl/>
              <w:spacing w:line="340" w:lineRule="exact"/>
              <w:ind w:left="57" w:right="57"/>
              <w:jc w:val="right"/>
              <w:rPr>
                <w:rFonts w:eastAsia="宋体"/>
                <w:b/>
                <w:color w:val="0C0C0C"/>
                <w:kern w:val="0"/>
                <w:sz w:val="21"/>
                <w:szCs w:val="21"/>
                <w:lang w:bidi="ar"/>
              </w:rPr>
            </w:pPr>
            <w:r>
              <w:rPr>
                <w:rFonts w:eastAsia="宋体"/>
                <w:b/>
                <w:color w:val="0C0C0C"/>
                <w:kern w:val="0"/>
                <w:sz w:val="21"/>
                <w:szCs w:val="21"/>
                <w:lang w:bidi="ar"/>
              </w:rPr>
              <w:t>23962.26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b/>
                <w:color w:val="0C0C0C"/>
                <w:kern w:val="0"/>
                <w:sz w:val="21"/>
                <w:szCs w:val="21"/>
                <w:lang w:bidi="ar"/>
              </w:rPr>
              <w:t>批发业</w:t>
            </w:r>
          </w:p>
        </w:tc>
        <w:tc>
          <w:tcPr>
            <w:tcW w:w="736" w:type="pct"/>
            <w:tcBorders>
              <w:top w:val="nil"/>
              <w:left w:val="single" w:color="auto" w:sz="4" w:space="0"/>
              <w:bottom w:val="nil"/>
              <w:right w:val="single" w:color="auto" w:sz="4" w:space="0"/>
            </w:tcBorders>
          </w:tcPr>
          <w:p>
            <w:pPr>
              <w:widowControl/>
              <w:spacing w:line="340" w:lineRule="exact"/>
              <w:ind w:left="57" w:right="57"/>
              <w:jc w:val="right"/>
              <w:rPr>
                <w:rFonts w:eastAsia="宋体"/>
                <w:b/>
                <w:color w:val="0C0C0C"/>
                <w:kern w:val="0"/>
                <w:sz w:val="21"/>
                <w:szCs w:val="21"/>
                <w:lang w:bidi="ar"/>
              </w:rPr>
            </w:pPr>
            <w:r>
              <w:rPr>
                <w:rFonts w:eastAsia="宋体"/>
                <w:b/>
                <w:color w:val="0C0C0C"/>
                <w:kern w:val="0"/>
                <w:sz w:val="21"/>
                <w:szCs w:val="21"/>
                <w:lang w:bidi="ar"/>
              </w:rPr>
              <w:t>13626.29</w:t>
            </w:r>
          </w:p>
        </w:tc>
        <w:tc>
          <w:tcPr>
            <w:tcW w:w="817" w:type="pct"/>
            <w:tcBorders>
              <w:top w:val="nil"/>
              <w:left w:val="single" w:color="auto" w:sz="4" w:space="0"/>
              <w:bottom w:val="nil"/>
              <w:right w:val="single" w:color="auto" w:sz="4" w:space="0"/>
            </w:tcBorders>
          </w:tcPr>
          <w:p>
            <w:pPr>
              <w:widowControl/>
              <w:spacing w:line="340" w:lineRule="exact"/>
              <w:ind w:left="57" w:right="57"/>
              <w:jc w:val="right"/>
              <w:rPr>
                <w:rFonts w:eastAsia="宋体"/>
                <w:b/>
                <w:color w:val="0C0C0C"/>
                <w:kern w:val="0"/>
                <w:sz w:val="21"/>
                <w:szCs w:val="21"/>
                <w:lang w:bidi="ar"/>
              </w:rPr>
            </w:pPr>
            <w:r>
              <w:rPr>
                <w:rFonts w:eastAsia="宋体"/>
                <w:b/>
                <w:color w:val="0C0C0C"/>
                <w:kern w:val="0"/>
                <w:sz w:val="21"/>
                <w:szCs w:val="21"/>
                <w:lang w:bidi="ar"/>
              </w:rPr>
              <w:t>9814.09</w:t>
            </w:r>
          </w:p>
        </w:tc>
        <w:tc>
          <w:tcPr>
            <w:tcW w:w="750" w:type="pct"/>
            <w:tcBorders>
              <w:top w:val="nil"/>
              <w:left w:val="single" w:color="auto" w:sz="4" w:space="0"/>
              <w:bottom w:val="nil"/>
              <w:right w:val="nil"/>
            </w:tcBorders>
          </w:tcPr>
          <w:p>
            <w:pPr>
              <w:widowControl/>
              <w:spacing w:line="340" w:lineRule="exact"/>
              <w:ind w:left="57" w:right="57"/>
              <w:jc w:val="right"/>
              <w:rPr>
                <w:rFonts w:eastAsia="宋体"/>
                <w:b/>
                <w:color w:val="0C0C0C"/>
                <w:kern w:val="0"/>
                <w:sz w:val="21"/>
                <w:szCs w:val="21"/>
                <w:lang w:bidi="ar"/>
              </w:rPr>
            </w:pPr>
            <w:r>
              <w:rPr>
                <w:rFonts w:eastAsia="宋体"/>
                <w:b/>
                <w:color w:val="0C0C0C"/>
                <w:kern w:val="0"/>
                <w:sz w:val="21"/>
                <w:szCs w:val="21"/>
                <w:lang w:bidi="ar"/>
              </w:rPr>
              <w:t>19648.95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农、林、牧、渔产品批发</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sz w:val="21"/>
                <w:szCs w:val="21"/>
              </w:rPr>
            </w:pPr>
            <w:r>
              <w:rPr>
                <w:rFonts w:eastAsia="宋体"/>
                <w:color w:val="0C0C0C"/>
                <w:sz w:val="21"/>
                <w:szCs w:val="21"/>
              </w:rPr>
              <w:t>364.14</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sz w:val="21"/>
                <w:szCs w:val="21"/>
              </w:rPr>
            </w:pPr>
            <w:r>
              <w:rPr>
                <w:rFonts w:eastAsia="宋体"/>
                <w:color w:val="0C0C0C"/>
                <w:sz w:val="21"/>
                <w:szCs w:val="21"/>
              </w:rPr>
              <w:t>214.42</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sz w:val="21"/>
                <w:szCs w:val="21"/>
              </w:rPr>
            </w:pPr>
            <w:r>
              <w:rPr>
                <w:rFonts w:eastAsia="宋体"/>
                <w:color w:val="0C0C0C"/>
                <w:sz w:val="21"/>
                <w:szCs w:val="21"/>
              </w:rPr>
              <w:t>260.73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食品、饮料及烟草制品批发</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1341.13</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651.17</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1556.11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纺织、服装及家庭用品批发</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2702.86</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1980.95</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2384.84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文化、体育用品及器材批发</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551.53</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331.34</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500.53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医药及医疗器材批发</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880.74</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628.46</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1196.61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矿产品、建材及化工产品批发</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4806.09</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3895.99</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9567.47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机械设备、五金产品及电子产品批发</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2173.18</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1512.65</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2737.86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贸易经纪与代理</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341.08</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269.08</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849.13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其他批发业</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465.54</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330.04</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595.67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b/>
                <w:color w:val="0C0C0C"/>
                <w:kern w:val="0"/>
                <w:sz w:val="21"/>
                <w:szCs w:val="21"/>
                <w:lang w:bidi="ar"/>
              </w:rPr>
              <w:t>零售业</w:t>
            </w:r>
          </w:p>
        </w:tc>
        <w:tc>
          <w:tcPr>
            <w:tcW w:w="736" w:type="pct"/>
            <w:tcBorders>
              <w:top w:val="nil"/>
              <w:left w:val="single" w:color="auto" w:sz="4" w:space="0"/>
              <w:bottom w:val="nil"/>
              <w:right w:val="single" w:color="auto" w:sz="4" w:space="0"/>
            </w:tcBorders>
          </w:tcPr>
          <w:p>
            <w:pPr>
              <w:widowControl/>
              <w:spacing w:line="340" w:lineRule="exact"/>
              <w:ind w:right="57" w:firstLine="422"/>
              <w:jc w:val="right"/>
              <w:rPr>
                <w:rFonts w:eastAsia="宋体"/>
                <w:b/>
                <w:color w:val="0C0C0C"/>
                <w:kern w:val="0"/>
                <w:sz w:val="21"/>
                <w:szCs w:val="21"/>
                <w:lang w:bidi="ar"/>
              </w:rPr>
            </w:pPr>
            <w:r>
              <w:rPr>
                <w:rFonts w:eastAsia="宋体"/>
                <w:b/>
                <w:color w:val="0C0C0C"/>
                <w:kern w:val="0"/>
                <w:sz w:val="21"/>
                <w:szCs w:val="21"/>
                <w:lang w:bidi="ar"/>
              </w:rPr>
              <w:t>3827.98</w:t>
            </w:r>
          </w:p>
        </w:tc>
        <w:tc>
          <w:tcPr>
            <w:tcW w:w="817" w:type="pct"/>
            <w:tcBorders>
              <w:top w:val="nil"/>
              <w:left w:val="single" w:color="auto" w:sz="4" w:space="0"/>
              <w:bottom w:val="nil"/>
              <w:right w:val="single" w:color="auto" w:sz="4" w:space="0"/>
            </w:tcBorders>
          </w:tcPr>
          <w:p>
            <w:pPr>
              <w:widowControl/>
              <w:spacing w:line="340" w:lineRule="exact"/>
              <w:ind w:right="57" w:firstLine="422"/>
              <w:jc w:val="right"/>
              <w:rPr>
                <w:rFonts w:eastAsia="宋体"/>
                <w:b/>
                <w:color w:val="0C0C0C"/>
                <w:kern w:val="0"/>
                <w:sz w:val="21"/>
                <w:szCs w:val="21"/>
                <w:lang w:bidi="ar"/>
              </w:rPr>
            </w:pPr>
            <w:r>
              <w:rPr>
                <w:rFonts w:eastAsia="宋体"/>
                <w:b/>
                <w:color w:val="0C0C0C"/>
                <w:kern w:val="0"/>
                <w:sz w:val="21"/>
                <w:szCs w:val="21"/>
                <w:lang w:bidi="ar"/>
              </w:rPr>
              <w:t>2659.06</w:t>
            </w:r>
          </w:p>
        </w:tc>
        <w:tc>
          <w:tcPr>
            <w:tcW w:w="750" w:type="pct"/>
            <w:tcBorders>
              <w:top w:val="nil"/>
              <w:left w:val="single" w:color="auto" w:sz="4" w:space="0"/>
              <w:bottom w:val="nil"/>
              <w:right w:val="nil"/>
            </w:tcBorders>
          </w:tcPr>
          <w:p>
            <w:pPr>
              <w:widowControl/>
              <w:spacing w:line="340" w:lineRule="exact"/>
              <w:ind w:right="57" w:firstLine="422"/>
              <w:jc w:val="right"/>
              <w:rPr>
                <w:rFonts w:eastAsia="宋体"/>
                <w:b/>
                <w:color w:val="0C0C0C"/>
                <w:kern w:val="0"/>
                <w:sz w:val="21"/>
                <w:szCs w:val="21"/>
                <w:lang w:bidi="ar"/>
              </w:rPr>
            </w:pPr>
            <w:r>
              <w:rPr>
                <w:rFonts w:eastAsia="宋体"/>
                <w:b/>
                <w:color w:val="0C0C0C"/>
                <w:kern w:val="0"/>
                <w:sz w:val="21"/>
                <w:szCs w:val="21"/>
                <w:lang w:bidi="ar"/>
              </w:rPr>
              <w:t>4313.31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综合零售</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999.94</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664.75</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673.98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食品、饮料及烟草制品专门零售</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432.88</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252.3</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350.78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纺织、服装及日用品专门零售</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129.52</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91.12</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155.58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文化、体育用品及器材专门零售</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478.47</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286.35</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350.00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医药及医疗器材专门零售</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101.54</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72.23</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114.06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汽车、摩托车、零配件和燃料及其他动力销售</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577.80</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437.20</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1349.87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家用电器及电子产品专门零售</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618.49</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492.43</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497.24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五金、家具及室内装饰材料专门零售</w:t>
            </w:r>
          </w:p>
        </w:tc>
        <w:tc>
          <w:tcPr>
            <w:tcW w:w="736"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231.75</w:t>
            </w:r>
          </w:p>
        </w:tc>
        <w:tc>
          <w:tcPr>
            <w:tcW w:w="817" w:type="pct"/>
            <w:tcBorders>
              <w:top w:val="nil"/>
              <w:left w:val="single" w:color="auto" w:sz="4" w:space="0"/>
              <w:bottom w:val="nil"/>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155.76</w:t>
            </w:r>
          </w:p>
        </w:tc>
        <w:tc>
          <w:tcPr>
            <w:tcW w:w="750" w:type="pct"/>
            <w:tcBorders>
              <w:top w:val="nil"/>
              <w:left w:val="single" w:color="auto" w:sz="4" w:space="0"/>
              <w:bottom w:val="nil"/>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165.93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97" w:type="pct"/>
            <w:tcBorders>
              <w:top w:val="nil"/>
              <w:left w:val="nil"/>
              <w:bottom w:val="single" w:color="auto" w:sz="12" w:space="0"/>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货摊、无店铺及其他零售业</w:t>
            </w:r>
          </w:p>
        </w:tc>
        <w:tc>
          <w:tcPr>
            <w:tcW w:w="736" w:type="pct"/>
            <w:tcBorders>
              <w:top w:val="nil"/>
              <w:left w:val="single" w:color="auto" w:sz="4" w:space="0"/>
              <w:bottom w:val="single" w:color="auto" w:sz="12" w:space="0"/>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257.58</w:t>
            </w:r>
          </w:p>
        </w:tc>
        <w:tc>
          <w:tcPr>
            <w:tcW w:w="817" w:type="pct"/>
            <w:tcBorders>
              <w:top w:val="nil"/>
              <w:left w:val="single" w:color="auto" w:sz="4" w:space="0"/>
              <w:bottom w:val="single" w:color="auto" w:sz="12" w:space="0"/>
              <w:right w:val="single" w:color="auto" w:sz="4" w:space="0"/>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206.93</w:t>
            </w:r>
          </w:p>
        </w:tc>
        <w:tc>
          <w:tcPr>
            <w:tcW w:w="750" w:type="pct"/>
            <w:tcBorders>
              <w:top w:val="nil"/>
              <w:left w:val="single" w:color="auto" w:sz="4" w:space="0"/>
              <w:bottom w:val="single" w:color="auto" w:sz="12" w:space="0"/>
              <w:right w:val="nil"/>
            </w:tcBorders>
          </w:tcPr>
          <w:p>
            <w:pPr>
              <w:widowControl/>
              <w:spacing w:line="340" w:lineRule="exact"/>
              <w:ind w:right="57" w:firstLine="420"/>
              <w:jc w:val="right"/>
              <w:rPr>
                <w:rFonts w:eastAsia="宋体"/>
                <w:color w:val="0C0C0C"/>
                <w:kern w:val="0"/>
                <w:sz w:val="21"/>
                <w:szCs w:val="21"/>
                <w:lang w:bidi="ar"/>
              </w:rPr>
            </w:pPr>
            <w:r>
              <w:rPr>
                <w:rFonts w:eastAsia="宋体"/>
                <w:color w:val="0C0C0C"/>
                <w:kern w:val="0"/>
                <w:sz w:val="21"/>
                <w:szCs w:val="21"/>
                <w:lang w:bidi="ar"/>
              </w:rPr>
              <w:t>655.87</w:t>
            </w:r>
          </w:p>
        </w:tc>
      </w:tr>
    </w:tbl>
    <w:p>
      <w:pPr>
        <w:widowControl/>
        <w:spacing w:line="600" w:lineRule="exact"/>
        <w:ind w:firstLine="640"/>
        <w:jc w:val="left"/>
        <w:rPr>
          <w:rFonts w:eastAsia="黑体"/>
          <w:bCs/>
          <w:color w:val="0C0C0C"/>
          <w:kern w:val="0"/>
          <w:szCs w:val="32"/>
          <w:lang w:bidi="ar"/>
        </w:rPr>
      </w:pPr>
    </w:p>
    <w:p>
      <w:pPr>
        <w:widowControl/>
        <w:adjustRightInd w:val="0"/>
        <w:snapToGrid w:val="0"/>
        <w:spacing w:line="520" w:lineRule="exact"/>
        <w:ind w:firstLine="640"/>
        <w:rPr>
          <w:color w:val="0C0C0C"/>
          <w:szCs w:val="32"/>
        </w:rPr>
      </w:pPr>
      <w:r>
        <w:rPr>
          <w:rFonts w:eastAsia="黑体"/>
          <w:bCs/>
          <w:color w:val="0C0C0C"/>
          <w:kern w:val="0"/>
          <w:szCs w:val="32"/>
          <w:lang w:bidi="ar"/>
        </w:rPr>
        <w:t>二、交通运输、仓储和邮政业</w:t>
      </w:r>
    </w:p>
    <w:p>
      <w:pPr>
        <w:widowControl/>
        <w:adjustRightInd w:val="0"/>
        <w:snapToGrid w:val="0"/>
        <w:spacing w:line="520" w:lineRule="exact"/>
        <w:ind w:firstLine="640"/>
        <w:rPr>
          <w:color w:val="0C0C0C"/>
          <w:szCs w:val="32"/>
        </w:rPr>
      </w:pPr>
      <w:r>
        <w:rPr>
          <w:rFonts w:eastAsia="楷体_GB2312"/>
          <w:color w:val="0C0C0C"/>
          <w:kern w:val="0"/>
          <w:szCs w:val="32"/>
          <w:lang w:bidi="ar"/>
        </w:rPr>
        <w:t>（一）企业法人单位数和从业人员</w:t>
      </w:r>
    </w:p>
    <w:p>
      <w:pPr>
        <w:widowControl/>
        <w:adjustRightInd w:val="0"/>
        <w:snapToGrid w:val="0"/>
        <w:spacing w:line="520" w:lineRule="exact"/>
        <w:ind w:firstLine="616"/>
        <w:rPr>
          <w:rFonts w:eastAsia="仿宋_GB2312"/>
        </w:rPr>
      </w:pPr>
      <w:r>
        <w:rPr>
          <w:rFonts w:eastAsia="仿宋_GB2312"/>
          <w:color w:val="0C0C0C"/>
          <w:spacing w:val="-6"/>
          <w:szCs w:val="32"/>
        </w:rPr>
        <w:t>2023年末，全</w:t>
      </w:r>
      <w:r>
        <w:rPr>
          <w:rFonts w:eastAsia="仿宋_GB2312"/>
          <w:color w:val="0C0C0C"/>
          <w:szCs w:val="32"/>
        </w:rPr>
        <w:t>市</w:t>
      </w:r>
      <w:r>
        <w:rPr>
          <w:rFonts w:eastAsia="仿宋_GB2312"/>
          <w:color w:val="0C0C0C"/>
          <w:spacing w:val="-6"/>
          <w:szCs w:val="32"/>
        </w:rPr>
        <w:t>共有交通运输、仓储和邮政业企业法人单位</w:t>
      </w:r>
      <w:r>
        <w:rPr>
          <w:rFonts w:eastAsia="仿宋_GB2312"/>
          <w:color w:val="0C0C0C"/>
          <w:szCs w:val="32"/>
        </w:rPr>
        <w:t>1.26万个，比2018年末增长159.2%，从业人员19.33万人，比2018年末下降13.5%</w:t>
      </w:r>
      <w:r>
        <w:rPr>
          <w:rFonts w:eastAsia="仿宋_GB2312"/>
          <w:color w:val="0C0C0C"/>
          <w:spacing w:val="-6"/>
          <w:szCs w:val="32"/>
        </w:rPr>
        <w:t>（详见表4-4）。</w:t>
      </w:r>
    </w:p>
    <w:p>
      <w:pPr>
        <w:widowControl/>
        <w:spacing w:line="320" w:lineRule="exact"/>
        <w:jc w:val="center"/>
        <w:rPr>
          <w:rFonts w:eastAsia="宋体"/>
          <w:b/>
          <w:color w:val="0C0C0C"/>
          <w:kern w:val="0"/>
          <w:sz w:val="24"/>
          <w:lang w:bidi="ar"/>
        </w:rPr>
      </w:pPr>
      <w:r>
        <w:rPr>
          <w:rFonts w:eastAsia="宋体"/>
          <w:b/>
          <w:color w:val="0C0C0C"/>
          <w:kern w:val="0"/>
          <w:sz w:val="24"/>
          <w:lang w:bidi="ar"/>
        </w:rPr>
        <w:t>表4-4　按行业大类分组的交通运输、仓储和邮政业</w:t>
      </w:r>
    </w:p>
    <w:p>
      <w:pPr>
        <w:widowControl/>
        <w:spacing w:line="320" w:lineRule="exact"/>
        <w:jc w:val="center"/>
        <w:rPr>
          <w:rFonts w:eastAsia="宋体"/>
          <w:b/>
          <w:color w:val="0C0C0C"/>
          <w:kern w:val="0"/>
          <w:sz w:val="24"/>
          <w:lang w:bidi="ar"/>
        </w:rPr>
      </w:pPr>
      <w:r>
        <w:rPr>
          <w:rFonts w:eastAsia="宋体"/>
          <w:b/>
          <w:color w:val="0C0C0C"/>
          <w:kern w:val="0"/>
          <w:sz w:val="24"/>
          <w:lang w:bidi="ar"/>
        </w:rPr>
        <w:t>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29"/>
        <w:gridCol w:w="2482"/>
        <w:gridCol w:w="25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66" w:type="pct"/>
            <w:tcBorders>
              <w:top w:val="single" w:color="auto" w:sz="12" w:space="0"/>
              <w:left w:val="nil"/>
              <w:bottom w:val="single" w:color="auto" w:sz="4" w:space="0"/>
              <w:right w:val="single" w:color="auto" w:sz="4" w:space="0"/>
            </w:tcBorders>
            <w:vAlign w:val="center"/>
          </w:tcPr>
          <w:p>
            <w:pPr>
              <w:widowControl/>
              <w:spacing w:line="320" w:lineRule="exact"/>
              <w:jc w:val="left"/>
              <w:rPr>
                <w:rFonts w:eastAsia="宋体"/>
                <w:color w:val="0C0C0C"/>
                <w:sz w:val="21"/>
                <w:szCs w:val="21"/>
              </w:rPr>
            </w:pPr>
            <w:r>
              <w:rPr>
                <w:rFonts w:eastAsia="宋体"/>
                <w:color w:val="0C0C0C"/>
                <w:kern w:val="0"/>
                <w:sz w:val="21"/>
                <w:szCs w:val="21"/>
                <w:lang w:bidi="ar"/>
              </w:rPr>
              <w:t>　</w:t>
            </w:r>
          </w:p>
        </w:tc>
        <w:tc>
          <w:tcPr>
            <w:tcW w:w="1404"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1430"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从业人员</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single" w:color="auto" w:sz="4" w:space="0"/>
              <w:left w:val="nil"/>
              <w:bottom w:val="nil"/>
              <w:right w:val="single" w:color="auto" w:sz="4" w:space="0"/>
            </w:tcBorders>
            <w:vAlign w:val="center"/>
          </w:tcPr>
          <w:p>
            <w:pPr>
              <w:widowControl/>
              <w:spacing w:line="320" w:lineRule="exact"/>
              <w:ind w:right="57"/>
              <w:jc w:val="center"/>
              <w:rPr>
                <w:rFonts w:eastAsia="宋体"/>
                <w:color w:val="0C0C0C"/>
                <w:sz w:val="21"/>
                <w:szCs w:val="21"/>
              </w:rPr>
            </w:pPr>
            <w:r>
              <w:rPr>
                <w:rFonts w:eastAsia="宋体"/>
                <w:b/>
                <w:color w:val="0C0C0C"/>
                <w:kern w:val="0"/>
                <w:sz w:val="21"/>
                <w:szCs w:val="21"/>
                <w:lang w:bidi="ar"/>
              </w:rPr>
              <w:t>合　计</w:t>
            </w:r>
          </w:p>
        </w:tc>
        <w:tc>
          <w:tcPr>
            <w:tcW w:w="1404" w:type="pct"/>
            <w:tcBorders>
              <w:top w:val="single" w:color="auto" w:sz="4" w:space="0"/>
              <w:left w:val="single" w:color="auto" w:sz="4" w:space="0"/>
              <w:bottom w:val="nil"/>
              <w:right w:val="single" w:color="auto" w:sz="4" w:space="0"/>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12572</w:t>
            </w:r>
          </w:p>
        </w:tc>
        <w:tc>
          <w:tcPr>
            <w:tcW w:w="1430" w:type="pct"/>
            <w:tcBorders>
              <w:top w:val="single" w:color="auto" w:sz="4" w:space="0"/>
              <w:left w:val="single" w:color="auto" w:sz="4" w:space="0"/>
              <w:bottom w:val="nil"/>
              <w:right w:val="nil"/>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19.33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铁路运输业</w:t>
            </w:r>
          </w:p>
        </w:tc>
        <w:tc>
          <w:tcPr>
            <w:tcW w:w="1404"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8</w:t>
            </w:r>
          </w:p>
        </w:tc>
        <w:tc>
          <w:tcPr>
            <w:tcW w:w="1430" w:type="pct"/>
            <w:tcBorders>
              <w:top w:val="nil"/>
              <w:left w:val="single" w:color="auto" w:sz="4" w:space="0"/>
              <w:bottom w:val="nil"/>
              <w:right w:val="nil"/>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道路运输业</w:t>
            </w:r>
          </w:p>
        </w:tc>
        <w:tc>
          <w:tcPr>
            <w:tcW w:w="1404"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9384</w:t>
            </w:r>
          </w:p>
        </w:tc>
        <w:tc>
          <w:tcPr>
            <w:tcW w:w="1430" w:type="pct"/>
            <w:tcBorders>
              <w:top w:val="nil"/>
              <w:left w:val="single" w:color="auto" w:sz="4" w:space="0"/>
              <w:bottom w:val="nil"/>
              <w:right w:val="nil"/>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11.66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水上运输业</w:t>
            </w:r>
          </w:p>
        </w:tc>
        <w:tc>
          <w:tcPr>
            <w:tcW w:w="1404"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341</w:t>
            </w:r>
          </w:p>
        </w:tc>
        <w:tc>
          <w:tcPr>
            <w:tcW w:w="1430" w:type="pct"/>
            <w:tcBorders>
              <w:top w:val="nil"/>
              <w:left w:val="single" w:color="auto" w:sz="4" w:space="0"/>
              <w:bottom w:val="nil"/>
              <w:right w:val="nil"/>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1.36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航空运输业</w:t>
            </w:r>
          </w:p>
        </w:tc>
        <w:tc>
          <w:tcPr>
            <w:tcW w:w="1404"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73</w:t>
            </w:r>
          </w:p>
        </w:tc>
        <w:tc>
          <w:tcPr>
            <w:tcW w:w="1430" w:type="pct"/>
            <w:tcBorders>
              <w:top w:val="nil"/>
              <w:left w:val="single" w:color="auto" w:sz="4" w:space="0"/>
              <w:bottom w:val="nil"/>
              <w:right w:val="nil"/>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1.02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管道运输业</w:t>
            </w:r>
          </w:p>
        </w:tc>
        <w:tc>
          <w:tcPr>
            <w:tcW w:w="1404"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7</w:t>
            </w:r>
          </w:p>
        </w:tc>
        <w:tc>
          <w:tcPr>
            <w:tcW w:w="1430" w:type="pct"/>
            <w:tcBorders>
              <w:top w:val="nil"/>
              <w:left w:val="single" w:color="auto" w:sz="4" w:space="0"/>
              <w:bottom w:val="nil"/>
              <w:right w:val="nil"/>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0.08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多式联运和运输代理业</w:t>
            </w:r>
          </w:p>
        </w:tc>
        <w:tc>
          <w:tcPr>
            <w:tcW w:w="1404"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1523</w:t>
            </w:r>
          </w:p>
        </w:tc>
        <w:tc>
          <w:tcPr>
            <w:tcW w:w="1430" w:type="pct"/>
            <w:tcBorders>
              <w:top w:val="nil"/>
              <w:left w:val="single" w:color="auto" w:sz="4" w:space="0"/>
              <w:bottom w:val="nil"/>
              <w:right w:val="nil"/>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1.83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装卸搬运和仓储业</w:t>
            </w:r>
          </w:p>
        </w:tc>
        <w:tc>
          <w:tcPr>
            <w:tcW w:w="1404"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1051</w:t>
            </w:r>
          </w:p>
        </w:tc>
        <w:tc>
          <w:tcPr>
            <w:tcW w:w="1430" w:type="pct"/>
            <w:tcBorders>
              <w:top w:val="nil"/>
              <w:left w:val="single" w:color="auto" w:sz="4" w:space="0"/>
              <w:bottom w:val="nil"/>
              <w:right w:val="nil"/>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1.55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single" w:color="auto" w:sz="12" w:space="0"/>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邮政业</w:t>
            </w:r>
          </w:p>
        </w:tc>
        <w:tc>
          <w:tcPr>
            <w:tcW w:w="1404" w:type="pct"/>
            <w:tcBorders>
              <w:top w:val="nil"/>
              <w:left w:val="single" w:color="auto" w:sz="4" w:space="0"/>
              <w:bottom w:val="single" w:color="auto" w:sz="12" w:space="0"/>
              <w:right w:val="single" w:color="auto" w:sz="4" w:space="0"/>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185</w:t>
            </w:r>
          </w:p>
        </w:tc>
        <w:tc>
          <w:tcPr>
            <w:tcW w:w="1430" w:type="pct"/>
            <w:tcBorders>
              <w:top w:val="nil"/>
              <w:left w:val="single" w:color="auto" w:sz="4" w:space="0"/>
              <w:bottom w:val="single" w:color="auto" w:sz="12" w:space="0"/>
              <w:right w:val="nil"/>
            </w:tcBorders>
          </w:tcPr>
          <w:p>
            <w:pPr>
              <w:widowControl/>
              <w:spacing w:line="320" w:lineRule="exact"/>
              <w:ind w:right="57"/>
              <w:jc w:val="right"/>
              <w:rPr>
                <w:rFonts w:eastAsia="宋体"/>
                <w:color w:val="0C0C0C"/>
                <w:kern w:val="0"/>
                <w:sz w:val="21"/>
                <w:szCs w:val="21"/>
                <w:lang w:bidi="ar"/>
              </w:rPr>
            </w:pPr>
            <w:r>
              <w:rPr>
                <w:rFonts w:eastAsia="宋体"/>
                <w:color w:val="0C0C0C"/>
                <w:kern w:val="0"/>
                <w:sz w:val="21"/>
                <w:szCs w:val="21"/>
                <w:lang w:bidi="ar"/>
              </w:rPr>
              <w:t>1.77</w:t>
            </w:r>
          </w:p>
        </w:tc>
      </w:tr>
    </w:tbl>
    <w:p>
      <w:pPr>
        <w:widowControl/>
        <w:adjustRightInd w:val="0"/>
        <w:snapToGrid w:val="0"/>
        <w:spacing w:line="520" w:lineRule="exact"/>
        <w:ind w:firstLine="618"/>
        <w:rPr>
          <w:rFonts w:eastAsia="仿宋_GB2312"/>
          <w:color w:val="0C0C0C"/>
          <w:spacing w:val="-6"/>
          <w:szCs w:val="32"/>
        </w:rPr>
      </w:pPr>
      <w:r>
        <w:rPr>
          <w:rFonts w:eastAsia="仿宋_GB2312"/>
          <w:color w:val="0C0C0C"/>
          <w:spacing w:val="-6"/>
          <w:szCs w:val="32"/>
        </w:rPr>
        <w:t>在交通运输、仓储和邮政业企业法人单位中，内资企业占</w:t>
      </w:r>
      <w:r>
        <w:rPr>
          <w:rFonts w:eastAsia="仿宋_GB2312"/>
          <w:color w:val="0C0C0C"/>
          <w:szCs w:val="32"/>
        </w:rPr>
        <w:t>99.3%，港澳台投资企业占0.3%，外商投资企业占0.3%</w:t>
      </w:r>
      <w:r>
        <w:rPr>
          <w:rFonts w:eastAsia="仿宋_GB2312"/>
          <w:color w:val="0C0C0C"/>
          <w:spacing w:val="-6"/>
          <w:szCs w:val="32"/>
        </w:rPr>
        <w:t>。</w:t>
      </w:r>
    </w:p>
    <w:p>
      <w:pPr>
        <w:widowControl/>
        <w:adjustRightInd w:val="0"/>
        <w:snapToGrid w:val="0"/>
        <w:spacing w:line="520" w:lineRule="exact"/>
        <w:ind w:firstLine="618"/>
        <w:rPr>
          <w:rFonts w:eastAsia="仿宋_GB2312"/>
          <w:color w:val="0C0C0C"/>
          <w:spacing w:val="-6"/>
          <w:szCs w:val="32"/>
        </w:rPr>
      </w:pPr>
      <w:r>
        <w:rPr>
          <w:rFonts w:eastAsia="仿宋_GB2312"/>
          <w:color w:val="0C0C0C"/>
          <w:spacing w:val="-6"/>
          <w:szCs w:val="32"/>
        </w:rPr>
        <w:t>在交通运输、仓储和邮政业企业法人单位从业人员中，内资企业占</w:t>
      </w:r>
      <w:r>
        <w:rPr>
          <w:rFonts w:eastAsia="仿宋_GB2312"/>
          <w:color w:val="0C0C0C"/>
          <w:szCs w:val="32"/>
        </w:rPr>
        <w:t>96.4%，港澳台投资企业占2.6%，外商投资企业占0.9%</w:t>
      </w:r>
      <w:r>
        <w:rPr>
          <w:rFonts w:eastAsia="仿宋_GB2312"/>
          <w:color w:val="0C0C0C"/>
          <w:spacing w:val="-6"/>
          <w:szCs w:val="32"/>
        </w:rPr>
        <w:t>（详见表4-5）。</w:t>
      </w:r>
    </w:p>
    <w:p>
      <w:pPr>
        <w:widowControl/>
        <w:spacing w:line="320" w:lineRule="exact"/>
        <w:jc w:val="center"/>
        <w:rPr>
          <w:rFonts w:eastAsia="宋体"/>
          <w:b/>
          <w:color w:val="0C0C0C"/>
          <w:kern w:val="0"/>
          <w:sz w:val="24"/>
          <w:lang w:bidi="ar"/>
        </w:rPr>
      </w:pPr>
      <w:r>
        <w:rPr>
          <w:rFonts w:eastAsia="宋体"/>
          <w:b/>
          <w:color w:val="0C0C0C"/>
          <w:kern w:val="0"/>
          <w:sz w:val="24"/>
          <w:lang w:bidi="ar"/>
        </w:rPr>
        <w:t>表4-5　按登记注册统计类别分组的交通运输、仓储和邮政业</w:t>
      </w:r>
    </w:p>
    <w:p>
      <w:pPr>
        <w:widowControl/>
        <w:spacing w:line="320" w:lineRule="exact"/>
        <w:jc w:val="center"/>
        <w:rPr>
          <w:rFonts w:eastAsia="宋体"/>
          <w:b/>
          <w:color w:val="0C0C0C"/>
          <w:kern w:val="0"/>
          <w:sz w:val="24"/>
          <w:lang w:bidi="ar"/>
        </w:rPr>
      </w:pPr>
      <w:r>
        <w:rPr>
          <w:rFonts w:eastAsia="宋体"/>
          <w:b/>
          <w:color w:val="0C0C0C"/>
          <w:kern w:val="0"/>
          <w:sz w:val="24"/>
          <w:lang w:bidi="ar"/>
        </w:rPr>
        <w:t>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05"/>
        <w:gridCol w:w="2465"/>
        <w:gridCol w:w="24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9" w:type="pct"/>
            <w:tcBorders>
              <w:top w:val="single" w:color="auto" w:sz="12" w:space="0"/>
              <w:left w:val="nil"/>
              <w:bottom w:val="single" w:color="auto" w:sz="4" w:space="0"/>
              <w:right w:val="single" w:color="auto" w:sz="4" w:space="0"/>
            </w:tcBorders>
            <w:vAlign w:val="center"/>
          </w:tcPr>
          <w:p>
            <w:pPr>
              <w:widowControl/>
              <w:spacing w:line="320" w:lineRule="exact"/>
              <w:ind w:left="57" w:right="57"/>
              <w:jc w:val="center"/>
              <w:rPr>
                <w:rFonts w:eastAsia="宋体"/>
                <w:color w:val="0C0C0C"/>
                <w:sz w:val="21"/>
                <w:szCs w:val="21"/>
              </w:rPr>
            </w:pPr>
          </w:p>
        </w:tc>
        <w:tc>
          <w:tcPr>
            <w:tcW w:w="1394"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1397"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从业人员</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9" w:type="pct"/>
            <w:tcBorders>
              <w:top w:val="single" w:color="auto" w:sz="4" w:space="0"/>
              <w:left w:val="nil"/>
              <w:bottom w:val="nil"/>
              <w:right w:val="single" w:color="auto" w:sz="4" w:space="0"/>
            </w:tcBorders>
            <w:vAlign w:val="center"/>
          </w:tcPr>
          <w:p>
            <w:pPr>
              <w:widowControl/>
              <w:spacing w:line="320" w:lineRule="exact"/>
              <w:ind w:right="57"/>
              <w:jc w:val="center"/>
              <w:rPr>
                <w:rFonts w:eastAsia="宋体"/>
                <w:color w:val="0C0C0C"/>
                <w:sz w:val="21"/>
                <w:szCs w:val="21"/>
              </w:rPr>
            </w:pPr>
            <w:r>
              <w:rPr>
                <w:rFonts w:eastAsia="宋体"/>
                <w:b/>
                <w:color w:val="0C0C0C"/>
                <w:kern w:val="0"/>
                <w:sz w:val="21"/>
                <w:szCs w:val="21"/>
                <w:lang w:bidi="ar"/>
              </w:rPr>
              <w:t>合　计</w:t>
            </w:r>
          </w:p>
        </w:tc>
        <w:tc>
          <w:tcPr>
            <w:tcW w:w="1394" w:type="pct"/>
            <w:tcBorders>
              <w:top w:val="single" w:color="auto" w:sz="4" w:space="0"/>
              <w:left w:val="single" w:color="auto" w:sz="4" w:space="0"/>
              <w:bottom w:val="nil"/>
              <w:right w:val="single" w:color="auto" w:sz="4" w:space="0"/>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12572</w:t>
            </w:r>
          </w:p>
        </w:tc>
        <w:tc>
          <w:tcPr>
            <w:tcW w:w="1397" w:type="pct"/>
            <w:tcBorders>
              <w:top w:val="single" w:color="auto" w:sz="4" w:space="0"/>
              <w:left w:val="single" w:color="auto" w:sz="4" w:space="0"/>
              <w:bottom w:val="nil"/>
              <w:right w:val="nil"/>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19.33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9" w:type="pct"/>
            <w:tcBorders>
              <w:top w:val="nil"/>
              <w:left w:val="nil"/>
              <w:bottom w:val="nil"/>
              <w:right w:val="single" w:color="auto" w:sz="4" w:space="0"/>
            </w:tcBorders>
            <w:vAlign w:val="center"/>
          </w:tcPr>
          <w:p>
            <w:pPr>
              <w:widowControl/>
              <w:spacing w:line="320" w:lineRule="exact"/>
              <w:ind w:right="57"/>
              <w:jc w:val="left"/>
              <w:rPr>
                <w:rFonts w:eastAsia="宋体"/>
                <w:bCs/>
                <w:color w:val="0C0C0C"/>
                <w:sz w:val="21"/>
                <w:szCs w:val="21"/>
              </w:rPr>
            </w:pPr>
            <w:r>
              <w:rPr>
                <w:rFonts w:eastAsia="宋体"/>
                <w:bCs/>
                <w:color w:val="0C0C0C"/>
                <w:kern w:val="0"/>
                <w:sz w:val="21"/>
                <w:szCs w:val="21"/>
                <w:lang w:bidi="ar"/>
              </w:rPr>
              <w:t>内资企业</w:t>
            </w:r>
          </w:p>
        </w:tc>
        <w:tc>
          <w:tcPr>
            <w:tcW w:w="1394" w:type="pct"/>
            <w:tcBorders>
              <w:top w:val="nil"/>
              <w:left w:val="single" w:color="auto" w:sz="4" w:space="0"/>
              <w:bottom w:val="nil"/>
              <w:right w:val="single" w:color="auto" w:sz="4" w:space="0"/>
            </w:tcBorders>
          </w:tcPr>
          <w:p>
            <w:pPr>
              <w:widowControl/>
              <w:spacing w:line="320" w:lineRule="exact"/>
              <w:ind w:right="57"/>
              <w:jc w:val="right"/>
              <w:rPr>
                <w:rFonts w:eastAsia="宋体"/>
                <w:bCs/>
                <w:color w:val="0C0C0C"/>
                <w:sz w:val="21"/>
                <w:szCs w:val="21"/>
              </w:rPr>
            </w:pPr>
            <w:r>
              <w:rPr>
                <w:rFonts w:eastAsia="宋体"/>
                <w:bCs/>
                <w:color w:val="0C0C0C"/>
                <w:sz w:val="21"/>
                <w:szCs w:val="21"/>
              </w:rPr>
              <w:t>12482</w:t>
            </w:r>
          </w:p>
        </w:tc>
        <w:tc>
          <w:tcPr>
            <w:tcW w:w="1397" w:type="pct"/>
            <w:tcBorders>
              <w:top w:val="nil"/>
              <w:left w:val="single" w:color="auto" w:sz="4" w:space="0"/>
              <w:bottom w:val="nil"/>
              <w:right w:val="nil"/>
            </w:tcBorders>
          </w:tcPr>
          <w:p>
            <w:pPr>
              <w:widowControl/>
              <w:spacing w:line="320" w:lineRule="exact"/>
              <w:ind w:right="57"/>
              <w:jc w:val="right"/>
              <w:rPr>
                <w:rFonts w:eastAsia="宋体"/>
                <w:bCs/>
                <w:color w:val="0C0C0C"/>
                <w:sz w:val="21"/>
                <w:szCs w:val="21"/>
              </w:rPr>
            </w:pPr>
            <w:r>
              <w:rPr>
                <w:rFonts w:eastAsia="宋体"/>
                <w:bCs/>
                <w:color w:val="0C0C0C"/>
                <w:sz w:val="21"/>
                <w:szCs w:val="21"/>
              </w:rPr>
              <w:t>18.64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9" w:type="pct"/>
            <w:tcBorders>
              <w:top w:val="nil"/>
              <w:left w:val="nil"/>
              <w:bottom w:val="nil"/>
              <w:right w:val="single" w:color="auto" w:sz="4" w:space="0"/>
            </w:tcBorders>
            <w:vAlign w:val="center"/>
          </w:tcPr>
          <w:p>
            <w:pPr>
              <w:widowControl/>
              <w:spacing w:line="320" w:lineRule="exact"/>
              <w:ind w:right="57"/>
              <w:jc w:val="left"/>
              <w:rPr>
                <w:rFonts w:eastAsia="宋体"/>
                <w:bCs/>
                <w:color w:val="0C0C0C"/>
                <w:sz w:val="21"/>
                <w:szCs w:val="21"/>
              </w:rPr>
            </w:pPr>
            <w:r>
              <w:rPr>
                <w:rFonts w:eastAsia="宋体"/>
                <w:bCs/>
                <w:color w:val="0C0C0C"/>
                <w:kern w:val="0"/>
                <w:sz w:val="21"/>
                <w:szCs w:val="21"/>
                <w:lang w:bidi="ar"/>
              </w:rPr>
              <w:t>港澳台投资企业</w:t>
            </w:r>
          </w:p>
        </w:tc>
        <w:tc>
          <w:tcPr>
            <w:tcW w:w="1394" w:type="pct"/>
            <w:tcBorders>
              <w:top w:val="nil"/>
              <w:left w:val="single" w:color="auto" w:sz="4" w:space="0"/>
              <w:bottom w:val="nil"/>
              <w:right w:val="single" w:color="auto" w:sz="4" w:space="0"/>
            </w:tcBorders>
          </w:tcPr>
          <w:p>
            <w:pPr>
              <w:widowControl/>
              <w:spacing w:line="320" w:lineRule="exact"/>
              <w:ind w:right="57"/>
              <w:jc w:val="right"/>
              <w:rPr>
                <w:rFonts w:eastAsia="宋体"/>
                <w:bCs/>
                <w:color w:val="0C0C0C"/>
                <w:sz w:val="21"/>
                <w:szCs w:val="21"/>
              </w:rPr>
            </w:pPr>
            <w:r>
              <w:rPr>
                <w:rFonts w:eastAsia="宋体"/>
                <w:bCs/>
                <w:color w:val="0C0C0C"/>
                <w:sz w:val="21"/>
                <w:szCs w:val="21"/>
              </w:rPr>
              <w:t>41</w:t>
            </w:r>
          </w:p>
        </w:tc>
        <w:tc>
          <w:tcPr>
            <w:tcW w:w="1397" w:type="pct"/>
            <w:tcBorders>
              <w:top w:val="nil"/>
              <w:left w:val="single" w:color="auto" w:sz="4" w:space="0"/>
              <w:bottom w:val="nil"/>
              <w:right w:val="nil"/>
            </w:tcBorders>
          </w:tcPr>
          <w:p>
            <w:pPr>
              <w:widowControl/>
              <w:spacing w:line="320" w:lineRule="exact"/>
              <w:ind w:right="57"/>
              <w:jc w:val="right"/>
              <w:rPr>
                <w:rFonts w:eastAsia="宋体"/>
                <w:bCs/>
                <w:color w:val="0C0C0C"/>
                <w:sz w:val="21"/>
                <w:szCs w:val="21"/>
              </w:rPr>
            </w:pPr>
            <w:r>
              <w:rPr>
                <w:rFonts w:eastAsia="宋体"/>
                <w:bCs/>
                <w:color w:val="0C0C0C"/>
                <w:sz w:val="21"/>
                <w:szCs w:val="21"/>
              </w:rPr>
              <w:t>0.51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9" w:type="pct"/>
            <w:tcBorders>
              <w:top w:val="nil"/>
              <w:left w:val="nil"/>
              <w:bottom w:val="nil"/>
              <w:right w:val="single" w:color="auto" w:sz="4" w:space="0"/>
            </w:tcBorders>
            <w:vAlign w:val="center"/>
          </w:tcPr>
          <w:p>
            <w:pPr>
              <w:widowControl/>
              <w:spacing w:line="320" w:lineRule="exact"/>
              <w:ind w:right="57"/>
              <w:jc w:val="left"/>
              <w:rPr>
                <w:rFonts w:eastAsia="宋体"/>
                <w:bCs/>
                <w:color w:val="0C0C0C"/>
                <w:sz w:val="21"/>
                <w:szCs w:val="21"/>
              </w:rPr>
            </w:pPr>
            <w:r>
              <w:rPr>
                <w:rFonts w:eastAsia="宋体"/>
                <w:bCs/>
                <w:color w:val="0C0C0C"/>
                <w:kern w:val="0"/>
                <w:sz w:val="21"/>
                <w:szCs w:val="21"/>
                <w:lang w:bidi="ar"/>
              </w:rPr>
              <w:t>外商投资企业</w:t>
            </w:r>
          </w:p>
        </w:tc>
        <w:tc>
          <w:tcPr>
            <w:tcW w:w="1394" w:type="pct"/>
            <w:tcBorders>
              <w:top w:val="nil"/>
              <w:left w:val="single" w:color="auto" w:sz="4" w:space="0"/>
              <w:bottom w:val="nil"/>
              <w:right w:val="single" w:color="auto" w:sz="4" w:space="0"/>
            </w:tcBorders>
          </w:tcPr>
          <w:p>
            <w:pPr>
              <w:widowControl/>
              <w:spacing w:line="320" w:lineRule="exact"/>
              <w:ind w:right="57"/>
              <w:jc w:val="right"/>
              <w:rPr>
                <w:rFonts w:eastAsia="宋体"/>
                <w:bCs/>
                <w:color w:val="0C0C0C"/>
                <w:sz w:val="21"/>
                <w:szCs w:val="21"/>
              </w:rPr>
            </w:pPr>
            <w:r>
              <w:rPr>
                <w:rFonts w:eastAsia="宋体"/>
                <w:bCs/>
                <w:color w:val="0C0C0C"/>
                <w:sz w:val="21"/>
                <w:szCs w:val="21"/>
              </w:rPr>
              <w:t>43</w:t>
            </w:r>
          </w:p>
        </w:tc>
        <w:tc>
          <w:tcPr>
            <w:tcW w:w="1397" w:type="pct"/>
            <w:tcBorders>
              <w:top w:val="nil"/>
              <w:left w:val="single" w:color="auto" w:sz="4" w:space="0"/>
              <w:bottom w:val="nil"/>
              <w:right w:val="nil"/>
            </w:tcBorders>
          </w:tcPr>
          <w:p>
            <w:pPr>
              <w:widowControl/>
              <w:spacing w:line="320" w:lineRule="exact"/>
              <w:ind w:right="57"/>
              <w:jc w:val="right"/>
              <w:rPr>
                <w:rFonts w:eastAsia="宋体"/>
                <w:bCs/>
                <w:color w:val="0C0C0C"/>
                <w:sz w:val="21"/>
                <w:szCs w:val="21"/>
              </w:rPr>
            </w:pPr>
            <w:r>
              <w:rPr>
                <w:rFonts w:eastAsia="宋体"/>
                <w:bCs/>
                <w:color w:val="0C0C0C"/>
                <w:sz w:val="21"/>
                <w:szCs w:val="21"/>
              </w:rPr>
              <w:t>0.18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9" w:type="pct"/>
            <w:tcBorders>
              <w:top w:val="nil"/>
              <w:left w:val="nil"/>
              <w:bottom w:val="single" w:color="auto" w:sz="12" w:space="0"/>
              <w:right w:val="single" w:color="auto" w:sz="4" w:space="0"/>
            </w:tcBorders>
            <w:vAlign w:val="center"/>
          </w:tcPr>
          <w:p>
            <w:pPr>
              <w:widowControl/>
              <w:spacing w:line="320" w:lineRule="exact"/>
              <w:ind w:right="57"/>
              <w:jc w:val="left"/>
              <w:rPr>
                <w:rFonts w:eastAsia="宋体"/>
                <w:bCs/>
                <w:color w:val="0C0C0C"/>
                <w:kern w:val="0"/>
                <w:sz w:val="21"/>
                <w:szCs w:val="21"/>
                <w:lang w:bidi="ar"/>
              </w:rPr>
            </w:pPr>
            <w:r>
              <w:rPr>
                <w:rFonts w:eastAsia="宋体"/>
                <w:bCs/>
                <w:color w:val="0C0C0C"/>
                <w:kern w:val="0"/>
                <w:sz w:val="21"/>
                <w:szCs w:val="21"/>
                <w:lang w:bidi="ar"/>
              </w:rPr>
              <w:t>其他统计类别</w:t>
            </w:r>
          </w:p>
        </w:tc>
        <w:tc>
          <w:tcPr>
            <w:tcW w:w="1394" w:type="pct"/>
            <w:tcBorders>
              <w:top w:val="nil"/>
              <w:left w:val="single" w:color="auto" w:sz="4" w:space="0"/>
              <w:bottom w:val="single" w:color="auto" w:sz="12" w:space="0"/>
              <w:right w:val="single" w:color="auto" w:sz="4" w:space="0"/>
            </w:tcBorders>
          </w:tcPr>
          <w:p>
            <w:pPr>
              <w:widowControl/>
              <w:spacing w:line="320" w:lineRule="exact"/>
              <w:ind w:right="57"/>
              <w:jc w:val="right"/>
              <w:rPr>
                <w:rFonts w:eastAsia="宋体"/>
                <w:bCs/>
                <w:color w:val="0C0C0C"/>
                <w:sz w:val="21"/>
                <w:szCs w:val="21"/>
              </w:rPr>
            </w:pPr>
            <w:r>
              <w:rPr>
                <w:rFonts w:eastAsia="宋体"/>
                <w:bCs/>
                <w:color w:val="0C0C0C"/>
                <w:sz w:val="21"/>
                <w:szCs w:val="21"/>
              </w:rPr>
              <w:t>6</w:t>
            </w:r>
          </w:p>
        </w:tc>
        <w:tc>
          <w:tcPr>
            <w:tcW w:w="1397" w:type="pct"/>
            <w:tcBorders>
              <w:top w:val="nil"/>
              <w:left w:val="single" w:color="auto" w:sz="4" w:space="0"/>
              <w:bottom w:val="single" w:color="auto" w:sz="12" w:space="0"/>
              <w:right w:val="nil"/>
            </w:tcBorders>
          </w:tcPr>
          <w:p>
            <w:pPr>
              <w:widowControl/>
              <w:spacing w:line="320" w:lineRule="exact"/>
              <w:ind w:right="57"/>
              <w:jc w:val="right"/>
              <w:rPr>
                <w:rFonts w:eastAsia="宋体"/>
                <w:bCs/>
                <w:color w:val="0C0C0C"/>
                <w:sz w:val="21"/>
                <w:szCs w:val="21"/>
              </w:rPr>
            </w:pPr>
            <w:r>
              <w:rPr>
                <w:rFonts w:eastAsia="宋体"/>
                <w:bCs/>
                <w:color w:val="0C0C0C"/>
                <w:sz w:val="21"/>
                <w:szCs w:val="21"/>
              </w:rPr>
              <w:t>0.00</w:t>
            </w:r>
          </w:p>
        </w:tc>
      </w:tr>
    </w:tbl>
    <w:p>
      <w:pPr>
        <w:widowControl/>
        <w:snapToGrid w:val="0"/>
        <w:spacing w:line="560" w:lineRule="exact"/>
        <w:ind w:firstLine="640"/>
        <w:jc w:val="left"/>
        <w:rPr>
          <w:rFonts w:eastAsia="楷体_GB2312"/>
          <w:color w:val="0C0C0C"/>
          <w:kern w:val="0"/>
          <w:szCs w:val="32"/>
          <w:lang w:bidi="ar"/>
        </w:rPr>
      </w:pPr>
      <w:r>
        <w:rPr>
          <w:rFonts w:eastAsia="楷体_GB2312"/>
          <w:color w:val="0C0C0C"/>
          <w:kern w:val="0"/>
          <w:szCs w:val="32"/>
          <w:lang w:bidi="ar"/>
        </w:rPr>
        <w:t>（二）主要经济指标</w:t>
      </w:r>
    </w:p>
    <w:p>
      <w:pPr>
        <w:widowControl/>
        <w:snapToGrid w:val="0"/>
        <w:spacing w:line="560" w:lineRule="exact"/>
        <w:ind w:firstLine="616"/>
        <w:rPr>
          <w:rFonts w:eastAsia="仿宋_GB2312"/>
          <w:color w:val="0C0C0C"/>
          <w:spacing w:val="-6"/>
          <w:szCs w:val="32"/>
        </w:rPr>
      </w:pPr>
      <w:r>
        <w:rPr>
          <w:rFonts w:eastAsia="仿宋_GB2312"/>
          <w:color w:val="0C0C0C"/>
          <w:spacing w:val="-6"/>
          <w:szCs w:val="32"/>
        </w:rPr>
        <w:t>2023年末，交通运输、仓储和邮政业企业法人单位资产总计</w:t>
      </w:r>
      <w:r>
        <w:rPr>
          <w:rFonts w:eastAsia="仿宋_GB2312"/>
          <w:color w:val="0C0C0C"/>
          <w:szCs w:val="32"/>
        </w:rPr>
        <w:t>14953.06亿元，比2018年末增长99.4%；负债合计8276.24亿元，比2018年末增长93.1%</w:t>
      </w:r>
      <w:r>
        <w:rPr>
          <w:rFonts w:eastAsia="仿宋_GB2312"/>
          <w:color w:val="0C0C0C"/>
          <w:spacing w:val="-6"/>
          <w:szCs w:val="32"/>
        </w:rPr>
        <w:t>。</w:t>
      </w:r>
    </w:p>
    <w:p>
      <w:pPr>
        <w:widowControl/>
        <w:snapToGrid w:val="0"/>
        <w:spacing w:line="560" w:lineRule="exact"/>
        <w:ind w:firstLine="616"/>
        <w:rPr>
          <w:rFonts w:eastAsia="仿宋_GB2312"/>
          <w:color w:val="0C0C0C"/>
          <w:spacing w:val="-6"/>
          <w:szCs w:val="32"/>
        </w:rPr>
      </w:pPr>
      <w:r>
        <w:rPr>
          <w:rFonts w:eastAsia="仿宋_GB2312"/>
          <w:color w:val="0C0C0C"/>
          <w:spacing w:val="-6"/>
          <w:szCs w:val="32"/>
        </w:rPr>
        <w:t>2023年，交通运输、仓储和邮政业企业法人单位实现营业收入</w:t>
      </w:r>
      <w:r>
        <w:rPr>
          <w:rFonts w:eastAsia="仿宋_GB2312"/>
          <w:color w:val="0C0C0C"/>
          <w:szCs w:val="32"/>
        </w:rPr>
        <w:t>2788.85亿元，比2018年增长69.1%</w:t>
      </w:r>
      <w:r>
        <w:rPr>
          <w:rFonts w:eastAsia="仿宋_GB2312"/>
          <w:color w:val="0C0C0C"/>
          <w:spacing w:val="-6"/>
          <w:szCs w:val="32"/>
        </w:rPr>
        <w:t>（详见表4-6）。</w:t>
      </w:r>
    </w:p>
    <w:p>
      <w:pPr>
        <w:widowControl/>
        <w:spacing w:before="173" w:beforeLines="30" w:line="340" w:lineRule="exact"/>
        <w:jc w:val="center"/>
        <w:rPr>
          <w:rFonts w:eastAsia="宋体"/>
          <w:b/>
          <w:color w:val="0C0C0C"/>
          <w:kern w:val="0"/>
          <w:sz w:val="24"/>
          <w:lang w:bidi="ar"/>
        </w:rPr>
      </w:pPr>
      <w:r>
        <w:rPr>
          <w:rFonts w:eastAsia="宋体"/>
          <w:b/>
          <w:color w:val="0C0C0C"/>
          <w:kern w:val="0"/>
          <w:sz w:val="24"/>
          <w:lang w:bidi="ar"/>
        </w:rPr>
        <w:t>表4-6　按行业大类分组的交通运输、仓储和邮政业</w:t>
      </w:r>
    </w:p>
    <w:p>
      <w:pPr>
        <w:widowControl/>
        <w:spacing w:line="340" w:lineRule="exact"/>
        <w:jc w:val="center"/>
        <w:rPr>
          <w:rFonts w:eastAsia="宋体"/>
          <w:b/>
          <w:color w:val="0C0C0C"/>
          <w:kern w:val="0"/>
          <w:sz w:val="24"/>
          <w:lang w:bidi="ar"/>
        </w:rPr>
      </w:pPr>
      <w:r>
        <w:rPr>
          <w:rFonts w:eastAsia="宋体"/>
          <w:b/>
          <w:color w:val="0C0C0C"/>
          <w:kern w:val="0"/>
          <w:sz w:val="24"/>
          <w:lang w:bidi="ar"/>
        </w:rPr>
        <w:t>企业法人单位主要经济指标</w:t>
      </w:r>
    </w:p>
    <w:tbl>
      <w:tblPr>
        <w:tblStyle w:val="19"/>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0"/>
        <w:gridCol w:w="1679"/>
        <w:gridCol w:w="1681"/>
        <w:gridCol w:w="16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48" w:type="pct"/>
            <w:tcBorders>
              <w:top w:val="single" w:color="auto" w:sz="12" w:space="0"/>
              <w:left w:val="nil"/>
              <w:bottom w:val="single" w:color="auto" w:sz="4" w:space="0"/>
              <w:right w:val="single" w:color="auto" w:sz="4" w:space="0"/>
            </w:tcBorders>
            <w:vAlign w:val="center"/>
          </w:tcPr>
          <w:p>
            <w:pPr>
              <w:widowControl/>
              <w:spacing w:line="340" w:lineRule="exact"/>
              <w:ind w:left="57" w:right="57"/>
              <w:jc w:val="center"/>
              <w:rPr>
                <w:rFonts w:eastAsia="宋体"/>
                <w:color w:val="0C0C0C"/>
                <w:sz w:val="21"/>
                <w:szCs w:val="21"/>
              </w:rPr>
            </w:pPr>
          </w:p>
        </w:tc>
        <w:tc>
          <w:tcPr>
            <w:tcW w:w="949" w:type="pct"/>
            <w:tcBorders>
              <w:top w:val="single" w:color="auto" w:sz="12" w:space="0"/>
              <w:left w:val="single" w:color="auto" w:sz="4" w:space="0"/>
              <w:bottom w:val="single" w:color="auto" w:sz="4" w:space="0"/>
              <w:right w:val="single" w:color="auto" w:sz="4" w:space="0"/>
            </w:tcBorders>
            <w:vAlign w:val="center"/>
          </w:tcPr>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资产总计</w:t>
            </w:r>
          </w:p>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950" w:type="pct"/>
            <w:tcBorders>
              <w:top w:val="single" w:color="auto" w:sz="12" w:space="0"/>
              <w:left w:val="single" w:color="auto" w:sz="4" w:space="0"/>
              <w:bottom w:val="single" w:color="auto" w:sz="4" w:space="0"/>
              <w:right w:val="single" w:color="auto" w:sz="4" w:space="0"/>
            </w:tcBorders>
            <w:vAlign w:val="center"/>
          </w:tcPr>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负债合计</w:t>
            </w:r>
          </w:p>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952" w:type="pct"/>
            <w:tcBorders>
              <w:top w:val="single" w:color="auto" w:sz="12" w:space="0"/>
              <w:left w:val="single" w:color="auto" w:sz="4" w:space="0"/>
              <w:bottom w:val="single" w:color="auto" w:sz="4" w:space="0"/>
              <w:right w:val="nil"/>
            </w:tcBorders>
            <w:vAlign w:val="center"/>
          </w:tcPr>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营业收入</w:t>
            </w:r>
          </w:p>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single" w:color="auto" w:sz="4" w:space="0"/>
              <w:left w:val="nil"/>
              <w:bottom w:val="nil"/>
              <w:right w:val="single" w:color="auto" w:sz="4" w:space="0"/>
            </w:tcBorders>
            <w:vAlign w:val="center"/>
          </w:tcPr>
          <w:p>
            <w:pPr>
              <w:widowControl/>
              <w:spacing w:line="340" w:lineRule="exact"/>
              <w:ind w:right="57"/>
              <w:jc w:val="center"/>
              <w:rPr>
                <w:rFonts w:eastAsia="宋体"/>
                <w:color w:val="0C0C0C"/>
                <w:sz w:val="21"/>
                <w:szCs w:val="21"/>
              </w:rPr>
            </w:pPr>
            <w:r>
              <w:rPr>
                <w:rFonts w:eastAsia="宋体"/>
                <w:b/>
                <w:color w:val="0C0C0C"/>
                <w:kern w:val="0"/>
                <w:sz w:val="21"/>
                <w:szCs w:val="21"/>
                <w:lang w:bidi="ar"/>
              </w:rPr>
              <w:t>合　计</w:t>
            </w:r>
          </w:p>
        </w:tc>
        <w:tc>
          <w:tcPr>
            <w:tcW w:w="949" w:type="pct"/>
            <w:tcBorders>
              <w:top w:val="single" w:color="auto" w:sz="4" w:space="0"/>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14953.06</w:t>
            </w:r>
          </w:p>
        </w:tc>
        <w:tc>
          <w:tcPr>
            <w:tcW w:w="950" w:type="pct"/>
            <w:tcBorders>
              <w:top w:val="single" w:color="auto" w:sz="4" w:space="0"/>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8276.24</w:t>
            </w:r>
          </w:p>
        </w:tc>
        <w:tc>
          <w:tcPr>
            <w:tcW w:w="952" w:type="pct"/>
            <w:tcBorders>
              <w:top w:val="single" w:color="auto" w:sz="4" w:space="0"/>
              <w:left w:val="single" w:color="auto" w:sz="4" w:space="0"/>
              <w:bottom w:val="nil"/>
              <w:right w:val="nil"/>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2788.85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48"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铁路运输业</w:t>
            </w:r>
          </w:p>
        </w:tc>
        <w:tc>
          <w:tcPr>
            <w:tcW w:w="94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3853.01</w:t>
            </w:r>
          </w:p>
        </w:tc>
        <w:tc>
          <w:tcPr>
            <w:tcW w:w="95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1663.08</w:t>
            </w:r>
          </w:p>
        </w:tc>
        <w:tc>
          <w:tcPr>
            <w:tcW w:w="952"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125.22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道路运输业</w:t>
            </w:r>
          </w:p>
        </w:tc>
        <w:tc>
          <w:tcPr>
            <w:tcW w:w="94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9399.60</w:t>
            </w:r>
          </w:p>
        </w:tc>
        <w:tc>
          <w:tcPr>
            <w:tcW w:w="95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5635.82</w:t>
            </w:r>
          </w:p>
        </w:tc>
        <w:tc>
          <w:tcPr>
            <w:tcW w:w="952"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1645.16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水上运输业</w:t>
            </w:r>
          </w:p>
        </w:tc>
        <w:tc>
          <w:tcPr>
            <w:tcW w:w="94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485.66</w:t>
            </w:r>
          </w:p>
        </w:tc>
        <w:tc>
          <w:tcPr>
            <w:tcW w:w="95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205.62</w:t>
            </w:r>
          </w:p>
        </w:tc>
        <w:tc>
          <w:tcPr>
            <w:tcW w:w="952"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167.97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航空运输业</w:t>
            </w:r>
          </w:p>
        </w:tc>
        <w:tc>
          <w:tcPr>
            <w:tcW w:w="94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461.09</w:t>
            </w:r>
          </w:p>
        </w:tc>
        <w:tc>
          <w:tcPr>
            <w:tcW w:w="95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336.35</w:t>
            </w:r>
          </w:p>
        </w:tc>
        <w:tc>
          <w:tcPr>
            <w:tcW w:w="952"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116.58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管道运输业</w:t>
            </w:r>
          </w:p>
        </w:tc>
        <w:tc>
          <w:tcPr>
            <w:tcW w:w="94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90.61</w:t>
            </w:r>
          </w:p>
        </w:tc>
        <w:tc>
          <w:tcPr>
            <w:tcW w:w="95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50.24</w:t>
            </w:r>
          </w:p>
        </w:tc>
        <w:tc>
          <w:tcPr>
            <w:tcW w:w="952"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22.09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多式联运和运输代理业</w:t>
            </w:r>
          </w:p>
        </w:tc>
        <w:tc>
          <w:tcPr>
            <w:tcW w:w="94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219.13</w:t>
            </w:r>
          </w:p>
        </w:tc>
        <w:tc>
          <w:tcPr>
            <w:tcW w:w="95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130.78</w:t>
            </w:r>
          </w:p>
        </w:tc>
        <w:tc>
          <w:tcPr>
            <w:tcW w:w="952"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486.12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装卸搬运和仓储业</w:t>
            </w:r>
          </w:p>
        </w:tc>
        <w:tc>
          <w:tcPr>
            <w:tcW w:w="94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378.78</w:t>
            </w:r>
          </w:p>
        </w:tc>
        <w:tc>
          <w:tcPr>
            <w:tcW w:w="95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202.16</w:t>
            </w:r>
          </w:p>
        </w:tc>
        <w:tc>
          <w:tcPr>
            <w:tcW w:w="952"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89.19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single" w:color="auto" w:sz="12" w:space="0"/>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邮政业</w:t>
            </w:r>
          </w:p>
        </w:tc>
        <w:tc>
          <w:tcPr>
            <w:tcW w:w="949" w:type="pct"/>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65.18</w:t>
            </w:r>
          </w:p>
        </w:tc>
        <w:tc>
          <w:tcPr>
            <w:tcW w:w="950" w:type="pct"/>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52.18</w:t>
            </w:r>
          </w:p>
        </w:tc>
        <w:tc>
          <w:tcPr>
            <w:tcW w:w="952" w:type="pct"/>
            <w:tcBorders>
              <w:top w:val="nil"/>
              <w:left w:val="single" w:color="auto" w:sz="4" w:space="0"/>
              <w:bottom w:val="single" w:color="auto" w:sz="12" w:space="0"/>
              <w:right w:val="nil"/>
            </w:tcBorders>
          </w:tcPr>
          <w:p>
            <w:pPr>
              <w:widowControl/>
              <w:spacing w:line="340" w:lineRule="exact"/>
              <w:ind w:right="57"/>
              <w:jc w:val="right"/>
              <w:rPr>
                <w:rFonts w:eastAsia="宋体"/>
                <w:color w:val="0C0C0C"/>
                <w:sz w:val="21"/>
                <w:szCs w:val="21"/>
              </w:rPr>
            </w:pPr>
            <w:r>
              <w:rPr>
                <w:rFonts w:eastAsia="宋体"/>
                <w:color w:val="0C0C0C"/>
                <w:sz w:val="21"/>
                <w:szCs w:val="21"/>
              </w:rPr>
              <w:t>136.52</w:t>
            </w:r>
          </w:p>
        </w:tc>
      </w:tr>
    </w:tbl>
    <w:p>
      <w:pPr>
        <w:widowControl/>
        <w:adjustRightInd w:val="0"/>
        <w:snapToGrid w:val="0"/>
        <w:spacing w:line="560" w:lineRule="exact"/>
        <w:ind w:firstLine="640"/>
        <w:rPr>
          <w:color w:val="0C0C0C"/>
          <w:szCs w:val="32"/>
        </w:rPr>
      </w:pPr>
      <w:r>
        <w:rPr>
          <w:rFonts w:eastAsia="黑体"/>
          <w:bCs/>
          <w:color w:val="0C0C0C"/>
          <w:kern w:val="0"/>
          <w:szCs w:val="32"/>
          <w:lang w:bidi="ar"/>
        </w:rPr>
        <w:t>三、住宿和餐饮业</w:t>
      </w:r>
    </w:p>
    <w:p>
      <w:pPr>
        <w:widowControl/>
        <w:adjustRightInd w:val="0"/>
        <w:snapToGrid w:val="0"/>
        <w:spacing w:line="560" w:lineRule="exact"/>
        <w:ind w:firstLine="640"/>
        <w:rPr>
          <w:color w:val="0C0C0C"/>
          <w:kern w:val="0"/>
          <w:szCs w:val="32"/>
          <w:lang w:bidi="ar"/>
        </w:rPr>
      </w:pPr>
      <w:r>
        <w:rPr>
          <w:rFonts w:eastAsia="楷体_GB2312"/>
          <w:color w:val="0C0C0C"/>
          <w:kern w:val="0"/>
          <w:szCs w:val="32"/>
          <w:lang w:bidi="ar"/>
        </w:rPr>
        <w:t>（一）企业法人单位数和从业人员</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2023年末，全</w:t>
      </w:r>
      <w:r>
        <w:rPr>
          <w:rFonts w:eastAsia="仿宋_GB2312"/>
          <w:color w:val="0C0C0C"/>
          <w:szCs w:val="32"/>
        </w:rPr>
        <w:t>市</w:t>
      </w:r>
      <w:r>
        <w:rPr>
          <w:rFonts w:eastAsia="仿宋_GB2312"/>
          <w:color w:val="0C0C0C"/>
          <w:spacing w:val="-6"/>
          <w:szCs w:val="32"/>
        </w:rPr>
        <w:t>共有住宿和餐饮业企业法人单位</w:t>
      </w:r>
      <w:r>
        <w:rPr>
          <w:rFonts w:eastAsia="仿宋_GB2312"/>
          <w:szCs w:val="32"/>
        </w:rPr>
        <w:t>1.03万个，从业人员17.76万人，分别比2018年末增长117.1</w:t>
      </w:r>
      <w:r>
        <w:rPr>
          <w:rFonts w:eastAsia="仿宋_GB2312"/>
          <w:color w:val="0C0C0C"/>
          <w:szCs w:val="32"/>
        </w:rPr>
        <w:t>%和60.4%</w:t>
      </w:r>
      <w:r>
        <w:rPr>
          <w:rFonts w:eastAsia="仿宋_GB2312"/>
          <w:color w:val="0C0C0C"/>
          <w:spacing w:val="-6"/>
          <w:szCs w:val="32"/>
        </w:rPr>
        <w:t>。</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在住宿和餐饮业企业法人单位中，住宿业占</w:t>
      </w:r>
      <w:r>
        <w:rPr>
          <w:rFonts w:eastAsia="仿宋_GB2312"/>
          <w:szCs w:val="32"/>
        </w:rPr>
        <w:t>24.0</w:t>
      </w:r>
      <w:r>
        <w:rPr>
          <w:rFonts w:eastAsia="仿宋_GB2312"/>
          <w:color w:val="0C0C0C"/>
          <w:szCs w:val="32"/>
        </w:rPr>
        <w:t>%，餐饮业占</w:t>
      </w:r>
      <w:r>
        <w:rPr>
          <w:rFonts w:eastAsia="仿宋_GB2312"/>
          <w:szCs w:val="32"/>
        </w:rPr>
        <w:t>76.0</w:t>
      </w:r>
      <w:r>
        <w:rPr>
          <w:rFonts w:eastAsia="仿宋_GB2312"/>
          <w:color w:val="0C0C0C"/>
          <w:szCs w:val="32"/>
        </w:rPr>
        <w:t>%。在住宿和餐饮业企业法人单位从业人员中，住宿业占21.3%，餐饮业占78.7%</w:t>
      </w:r>
      <w:r>
        <w:rPr>
          <w:rFonts w:eastAsia="仿宋_GB2312"/>
          <w:color w:val="0C0C0C"/>
          <w:spacing w:val="-6"/>
          <w:szCs w:val="32"/>
        </w:rPr>
        <w:t>（详见表4-7）。</w:t>
      </w:r>
    </w:p>
    <w:p>
      <w:pPr>
        <w:pStyle w:val="2"/>
        <w:ind w:firstLine="608"/>
        <w:rPr>
          <w:rFonts w:eastAsia="仿宋_GB2312"/>
          <w:color w:val="0C0C0C"/>
          <w:spacing w:val="-6"/>
          <w:kern w:val="2"/>
          <w:sz w:val="32"/>
          <w:szCs w:val="32"/>
        </w:rPr>
      </w:pPr>
    </w:p>
    <w:p>
      <w:pPr>
        <w:widowControl/>
        <w:spacing w:line="340" w:lineRule="exact"/>
        <w:jc w:val="center"/>
        <w:rPr>
          <w:rFonts w:eastAsia="宋体"/>
          <w:b/>
          <w:color w:val="0C0C0C"/>
          <w:kern w:val="0"/>
          <w:sz w:val="24"/>
          <w:lang w:bidi="ar"/>
        </w:rPr>
      </w:pPr>
      <w:r>
        <w:rPr>
          <w:rFonts w:eastAsia="宋体"/>
          <w:b/>
          <w:color w:val="0C0C0C"/>
          <w:kern w:val="0"/>
          <w:sz w:val="24"/>
          <w:lang w:bidi="ar"/>
        </w:rPr>
        <w:t>表4-7　按行业中类分组的住宿和餐饮业</w:t>
      </w:r>
    </w:p>
    <w:p>
      <w:pPr>
        <w:widowControl/>
        <w:spacing w:line="340" w:lineRule="exact"/>
        <w:jc w:val="center"/>
        <w:rPr>
          <w:rFonts w:eastAsia="宋体"/>
          <w:b/>
          <w:color w:val="0C0C0C"/>
          <w:kern w:val="0"/>
          <w:sz w:val="24"/>
          <w:lang w:bidi="ar"/>
        </w:rPr>
      </w:pPr>
      <w:r>
        <w:rPr>
          <w:rFonts w:eastAsia="宋体"/>
          <w:b/>
          <w:color w:val="0C0C0C"/>
          <w:kern w:val="0"/>
          <w:sz w:val="24"/>
          <w:lang w:bidi="ar"/>
        </w:rPr>
        <w:t xml:space="preserve">     企业法人单位数和从业人员</w:t>
      </w:r>
    </w:p>
    <w:tbl>
      <w:tblPr>
        <w:tblStyle w:val="1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62"/>
        <w:gridCol w:w="2778"/>
        <w:gridCol w:w="20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62" w:type="dxa"/>
            <w:tcBorders>
              <w:top w:val="single" w:color="auto" w:sz="12" w:space="0"/>
              <w:left w:val="nil"/>
              <w:bottom w:val="single" w:color="auto" w:sz="4" w:space="0"/>
              <w:right w:val="single" w:color="auto" w:sz="4" w:space="0"/>
            </w:tcBorders>
            <w:vAlign w:val="center"/>
          </w:tcPr>
          <w:p>
            <w:pPr>
              <w:widowControl/>
              <w:spacing w:line="340" w:lineRule="exact"/>
              <w:jc w:val="left"/>
              <w:rPr>
                <w:rFonts w:eastAsia="宋体"/>
                <w:color w:val="0C0C0C"/>
                <w:sz w:val="21"/>
                <w:szCs w:val="21"/>
              </w:rPr>
            </w:pPr>
          </w:p>
        </w:tc>
        <w:tc>
          <w:tcPr>
            <w:tcW w:w="2778" w:type="dxa"/>
            <w:tcBorders>
              <w:top w:val="single" w:color="auto" w:sz="12" w:space="0"/>
              <w:left w:val="single" w:color="auto" w:sz="4" w:space="0"/>
              <w:bottom w:val="single" w:color="auto" w:sz="4" w:space="0"/>
              <w:right w:val="single" w:color="auto" w:sz="4" w:space="0"/>
            </w:tcBorders>
            <w:vAlign w:val="center"/>
          </w:tcPr>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2034" w:type="dxa"/>
            <w:tcBorders>
              <w:top w:val="single" w:color="auto" w:sz="12" w:space="0"/>
              <w:left w:val="single" w:color="auto" w:sz="4" w:space="0"/>
              <w:bottom w:val="single" w:color="auto" w:sz="4" w:space="0"/>
              <w:right w:val="nil"/>
            </w:tcBorders>
            <w:vAlign w:val="center"/>
          </w:tcPr>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从业人员</w:t>
            </w:r>
          </w:p>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single" w:color="auto" w:sz="4" w:space="0"/>
              <w:left w:val="nil"/>
              <w:bottom w:val="nil"/>
              <w:right w:val="single" w:color="auto" w:sz="4" w:space="0"/>
            </w:tcBorders>
            <w:vAlign w:val="center"/>
          </w:tcPr>
          <w:p>
            <w:pPr>
              <w:widowControl/>
              <w:spacing w:line="340" w:lineRule="exact"/>
              <w:ind w:right="57"/>
              <w:jc w:val="center"/>
              <w:rPr>
                <w:rFonts w:eastAsia="宋体"/>
                <w:color w:val="0C0C0C"/>
                <w:sz w:val="21"/>
                <w:szCs w:val="21"/>
              </w:rPr>
            </w:pPr>
            <w:r>
              <w:rPr>
                <w:rFonts w:eastAsia="宋体"/>
                <w:b/>
                <w:color w:val="0C0C0C"/>
                <w:kern w:val="0"/>
                <w:sz w:val="21"/>
                <w:szCs w:val="21"/>
                <w:lang w:bidi="ar"/>
              </w:rPr>
              <w:t>合　计</w:t>
            </w:r>
          </w:p>
        </w:tc>
        <w:tc>
          <w:tcPr>
            <w:tcW w:w="2778" w:type="dxa"/>
            <w:tcBorders>
              <w:top w:val="single" w:color="auto" w:sz="4" w:space="0"/>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10346</w:t>
            </w:r>
          </w:p>
        </w:tc>
        <w:tc>
          <w:tcPr>
            <w:tcW w:w="2034" w:type="dxa"/>
            <w:tcBorders>
              <w:top w:val="single" w:color="auto" w:sz="4" w:space="0"/>
              <w:left w:val="single" w:color="auto" w:sz="4" w:space="0"/>
              <w:bottom w:val="nil"/>
              <w:right w:val="nil"/>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17.76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b/>
                <w:color w:val="0C0C0C"/>
                <w:kern w:val="0"/>
                <w:sz w:val="21"/>
                <w:szCs w:val="21"/>
                <w:lang w:bidi="ar"/>
              </w:rPr>
              <w:t>住宿业</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2481</w:t>
            </w:r>
          </w:p>
        </w:tc>
        <w:tc>
          <w:tcPr>
            <w:tcW w:w="2034" w:type="dxa"/>
            <w:tcBorders>
              <w:top w:val="nil"/>
              <w:left w:val="single" w:color="auto" w:sz="4" w:space="0"/>
              <w:bottom w:val="nil"/>
              <w:right w:val="nil"/>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3.77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旅游饭店</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473</w:t>
            </w:r>
          </w:p>
        </w:tc>
        <w:tc>
          <w:tcPr>
            <w:tcW w:w="2034"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1.98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一般旅馆</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1703</w:t>
            </w:r>
          </w:p>
        </w:tc>
        <w:tc>
          <w:tcPr>
            <w:tcW w:w="2034"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1.59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民宿服务</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146</w:t>
            </w:r>
          </w:p>
        </w:tc>
        <w:tc>
          <w:tcPr>
            <w:tcW w:w="2034"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露营地服务</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17</w:t>
            </w:r>
          </w:p>
        </w:tc>
        <w:tc>
          <w:tcPr>
            <w:tcW w:w="2034"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其他住宿业</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142</w:t>
            </w:r>
          </w:p>
        </w:tc>
        <w:tc>
          <w:tcPr>
            <w:tcW w:w="2034"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0.14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b/>
                <w:color w:val="0C0C0C"/>
                <w:kern w:val="0"/>
                <w:sz w:val="21"/>
                <w:szCs w:val="21"/>
                <w:lang w:bidi="ar"/>
              </w:rPr>
              <w:t>餐饮业</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7865</w:t>
            </w:r>
          </w:p>
        </w:tc>
        <w:tc>
          <w:tcPr>
            <w:tcW w:w="2034" w:type="dxa"/>
            <w:tcBorders>
              <w:top w:val="nil"/>
              <w:left w:val="single" w:color="auto" w:sz="4" w:space="0"/>
              <w:bottom w:val="nil"/>
              <w:right w:val="nil"/>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13.98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正餐服务</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6647</w:t>
            </w:r>
          </w:p>
        </w:tc>
        <w:tc>
          <w:tcPr>
            <w:tcW w:w="2034"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9.58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快餐服务</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495</w:t>
            </w:r>
          </w:p>
        </w:tc>
        <w:tc>
          <w:tcPr>
            <w:tcW w:w="2034"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3.14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饮料及冷饮服务</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239</w:t>
            </w:r>
          </w:p>
        </w:tc>
        <w:tc>
          <w:tcPr>
            <w:tcW w:w="2034"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0.39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餐饮配送及外卖送餐服务</w:t>
            </w:r>
          </w:p>
        </w:tc>
        <w:tc>
          <w:tcPr>
            <w:tcW w:w="2778"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85</w:t>
            </w:r>
          </w:p>
        </w:tc>
        <w:tc>
          <w:tcPr>
            <w:tcW w:w="2034"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0.41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2" w:type="dxa"/>
            <w:tcBorders>
              <w:top w:val="nil"/>
              <w:left w:val="nil"/>
              <w:bottom w:val="single" w:color="auto" w:sz="12" w:space="0"/>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其他餐饮业</w:t>
            </w:r>
          </w:p>
        </w:tc>
        <w:tc>
          <w:tcPr>
            <w:tcW w:w="2778" w:type="dxa"/>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399</w:t>
            </w:r>
          </w:p>
        </w:tc>
        <w:tc>
          <w:tcPr>
            <w:tcW w:w="2034" w:type="dxa"/>
            <w:tcBorders>
              <w:top w:val="nil"/>
              <w:left w:val="single" w:color="auto" w:sz="4" w:space="0"/>
              <w:bottom w:val="single" w:color="auto" w:sz="12" w:space="0"/>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0.47</w:t>
            </w:r>
          </w:p>
        </w:tc>
      </w:tr>
    </w:tbl>
    <w:p>
      <w:pPr>
        <w:widowControl/>
        <w:snapToGrid w:val="0"/>
        <w:spacing w:line="520" w:lineRule="exact"/>
        <w:ind w:firstLine="618"/>
        <w:rPr>
          <w:rFonts w:eastAsia="仿宋_GB2312"/>
          <w:spacing w:val="-6"/>
          <w:szCs w:val="32"/>
        </w:rPr>
      </w:pPr>
      <w:r>
        <w:rPr>
          <w:rFonts w:eastAsia="仿宋_GB2312"/>
          <w:color w:val="0C0C0C"/>
          <w:spacing w:val="-6"/>
          <w:szCs w:val="32"/>
        </w:rPr>
        <w:t>在住宿和餐饮业企业法人单位中，内资企业</w:t>
      </w:r>
      <w:r>
        <w:rPr>
          <w:rFonts w:eastAsia="仿宋_GB2312"/>
          <w:spacing w:val="-6"/>
          <w:szCs w:val="32"/>
        </w:rPr>
        <w:t>占</w:t>
      </w:r>
      <w:r>
        <w:rPr>
          <w:rFonts w:eastAsia="仿宋_GB2312"/>
          <w:szCs w:val="32"/>
        </w:rPr>
        <w:t>99.1%，港澳台投资企业占0.4%，外商投资企业占0.5%</w:t>
      </w:r>
      <w:r>
        <w:rPr>
          <w:rFonts w:eastAsia="仿宋_GB2312"/>
          <w:spacing w:val="-6"/>
          <w:szCs w:val="32"/>
        </w:rPr>
        <w:t>。</w:t>
      </w:r>
    </w:p>
    <w:p>
      <w:pPr>
        <w:widowControl/>
        <w:snapToGrid w:val="0"/>
        <w:spacing w:line="520" w:lineRule="exact"/>
        <w:ind w:firstLine="618"/>
        <w:rPr>
          <w:rFonts w:eastAsia="仿宋_GB2312"/>
          <w:color w:val="0C0C0C"/>
          <w:spacing w:val="-6"/>
          <w:szCs w:val="32"/>
        </w:rPr>
      </w:pPr>
      <w:r>
        <w:rPr>
          <w:rFonts w:eastAsia="仿宋_GB2312"/>
          <w:color w:val="0C0C0C"/>
          <w:spacing w:val="-6"/>
          <w:szCs w:val="32"/>
        </w:rPr>
        <w:t>在住宿和餐饮业企业法人单位从业人员中，内资企业占</w:t>
      </w:r>
      <w:r>
        <w:rPr>
          <w:rFonts w:eastAsia="仿宋_GB2312"/>
          <w:color w:val="0C0C0C"/>
          <w:szCs w:val="32"/>
        </w:rPr>
        <w:t>84.3%，港澳台投资企业占7.6%，外商投资企业占8.1%</w:t>
      </w:r>
      <w:r>
        <w:rPr>
          <w:rFonts w:eastAsia="仿宋_GB2312"/>
          <w:color w:val="0C0C0C"/>
          <w:spacing w:val="-6"/>
          <w:szCs w:val="32"/>
        </w:rPr>
        <w:t>（详见表4-8）。</w:t>
      </w:r>
    </w:p>
    <w:p>
      <w:pPr>
        <w:widowControl/>
        <w:spacing w:before="173" w:beforeLines="30" w:line="340" w:lineRule="exact"/>
        <w:jc w:val="center"/>
        <w:rPr>
          <w:rFonts w:eastAsia="宋体"/>
          <w:b/>
          <w:color w:val="0C0C0C"/>
          <w:kern w:val="0"/>
          <w:sz w:val="24"/>
          <w:lang w:bidi="ar"/>
        </w:rPr>
      </w:pPr>
      <w:r>
        <w:rPr>
          <w:rFonts w:eastAsia="宋体"/>
          <w:b/>
          <w:color w:val="0C0C0C"/>
          <w:kern w:val="0"/>
          <w:sz w:val="24"/>
          <w:lang w:bidi="ar"/>
        </w:rPr>
        <w:t>表4-8　按登记注册统计类别分组的住宿和餐饮业</w:t>
      </w:r>
    </w:p>
    <w:p>
      <w:pPr>
        <w:widowControl/>
        <w:spacing w:line="340" w:lineRule="exact"/>
        <w:jc w:val="center"/>
        <w:rPr>
          <w:rFonts w:eastAsia="宋体"/>
          <w:b/>
          <w:color w:val="0C0C0C"/>
          <w:kern w:val="0"/>
          <w:sz w:val="24"/>
          <w:lang w:bidi="ar"/>
        </w:rPr>
      </w:pPr>
      <w:r>
        <w:rPr>
          <w:rFonts w:eastAsia="宋体"/>
          <w:b/>
          <w:color w:val="0C0C0C"/>
          <w:kern w:val="0"/>
          <w:sz w:val="24"/>
          <w:lang w:bidi="ar"/>
        </w:rPr>
        <w:t xml:space="preserve"> 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93"/>
        <w:gridCol w:w="2850"/>
        <w:gridCol w:w="20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202" w:type="pct"/>
            <w:tcBorders>
              <w:top w:val="single" w:color="auto" w:sz="12" w:space="0"/>
              <w:left w:val="nil"/>
              <w:bottom w:val="single" w:color="auto" w:sz="4" w:space="0"/>
              <w:right w:val="single" w:color="auto" w:sz="4" w:space="0"/>
            </w:tcBorders>
            <w:vAlign w:val="center"/>
          </w:tcPr>
          <w:p>
            <w:pPr>
              <w:widowControl/>
              <w:spacing w:line="340" w:lineRule="exact"/>
              <w:ind w:left="57" w:right="57"/>
              <w:jc w:val="center"/>
              <w:rPr>
                <w:rFonts w:eastAsia="宋体"/>
                <w:color w:val="0C0C0C"/>
                <w:sz w:val="21"/>
                <w:szCs w:val="21"/>
              </w:rPr>
            </w:pPr>
          </w:p>
        </w:tc>
        <w:tc>
          <w:tcPr>
            <w:tcW w:w="1612" w:type="pct"/>
            <w:tcBorders>
              <w:top w:val="single" w:color="auto" w:sz="12" w:space="0"/>
              <w:left w:val="single" w:color="auto" w:sz="4" w:space="0"/>
              <w:bottom w:val="single" w:color="auto" w:sz="4" w:space="0"/>
              <w:right w:val="single" w:color="auto" w:sz="4" w:space="0"/>
            </w:tcBorders>
            <w:vAlign w:val="center"/>
          </w:tcPr>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1186" w:type="pct"/>
            <w:tcBorders>
              <w:top w:val="single" w:color="auto" w:sz="12" w:space="0"/>
              <w:left w:val="single" w:color="auto" w:sz="4" w:space="0"/>
              <w:bottom w:val="single" w:color="auto" w:sz="4" w:space="0"/>
              <w:right w:val="nil"/>
            </w:tcBorders>
            <w:vAlign w:val="center"/>
          </w:tcPr>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从业人员</w:t>
            </w:r>
          </w:p>
          <w:p>
            <w:pPr>
              <w:widowControl/>
              <w:spacing w:line="34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single" w:color="auto" w:sz="4" w:space="0"/>
              <w:left w:val="nil"/>
              <w:bottom w:val="nil"/>
              <w:right w:val="single" w:color="auto" w:sz="4" w:space="0"/>
            </w:tcBorders>
            <w:vAlign w:val="center"/>
          </w:tcPr>
          <w:p>
            <w:pPr>
              <w:widowControl/>
              <w:spacing w:line="340" w:lineRule="exact"/>
              <w:ind w:right="57"/>
              <w:jc w:val="center"/>
              <w:rPr>
                <w:rFonts w:eastAsia="宋体"/>
                <w:color w:val="0C0C0C"/>
                <w:sz w:val="21"/>
                <w:szCs w:val="21"/>
              </w:rPr>
            </w:pPr>
            <w:r>
              <w:rPr>
                <w:rFonts w:eastAsia="宋体"/>
                <w:b/>
                <w:color w:val="0C0C0C"/>
                <w:kern w:val="0"/>
                <w:sz w:val="21"/>
                <w:szCs w:val="21"/>
                <w:lang w:bidi="ar"/>
              </w:rPr>
              <w:t>合　计</w:t>
            </w:r>
          </w:p>
        </w:tc>
        <w:tc>
          <w:tcPr>
            <w:tcW w:w="1612" w:type="pct"/>
            <w:tcBorders>
              <w:top w:val="single" w:color="auto" w:sz="4" w:space="0"/>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10346</w:t>
            </w:r>
          </w:p>
        </w:tc>
        <w:tc>
          <w:tcPr>
            <w:tcW w:w="1186" w:type="pct"/>
            <w:tcBorders>
              <w:top w:val="single" w:color="auto" w:sz="4" w:space="0"/>
              <w:left w:val="single" w:color="auto" w:sz="4" w:space="0"/>
              <w:bottom w:val="nil"/>
              <w:right w:val="nil"/>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17.76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nil"/>
              <w:right w:val="single" w:color="auto" w:sz="4" w:space="0"/>
            </w:tcBorders>
            <w:vAlign w:val="center"/>
          </w:tcPr>
          <w:p>
            <w:pPr>
              <w:widowControl/>
              <w:spacing w:line="340" w:lineRule="exact"/>
              <w:ind w:right="57"/>
              <w:jc w:val="left"/>
              <w:rPr>
                <w:rFonts w:eastAsia="宋体"/>
                <w:bCs/>
                <w:color w:val="0C0C0C"/>
                <w:sz w:val="21"/>
                <w:szCs w:val="21"/>
              </w:rPr>
            </w:pPr>
            <w:r>
              <w:rPr>
                <w:rFonts w:eastAsia="宋体"/>
                <w:bCs/>
                <w:color w:val="0C0C0C"/>
                <w:kern w:val="0"/>
                <w:sz w:val="21"/>
                <w:szCs w:val="21"/>
                <w:lang w:bidi="ar"/>
              </w:rPr>
              <w:t>内资企业</w:t>
            </w:r>
          </w:p>
        </w:tc>
        <w:tc>
          <w:tcPr>
            <w:tcW w:w="1612"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10257</w:t>
            </w:r>
          </w:p>
        </w:tc>
        <w:tc>
          <w:tcPr>
            <w:tcW w:w="1186" w:type="pct"/>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14.98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nil"/>
              <w:right w:val="single" w:color="auto" w:sz="4" w:space="0"/>
            </w:tcBorders>
            <w:vAlign w:val="center"/>
          </w:tcPr>
          <w:p>
            <w:pPr>
              <w:widowControl/>
              <w:spacing w:line="340" w:lineRule="exact"/>
              <w:ind w:right="57"/>
              <w:jc w:val="left"/>
              <w:rPr>
                <w:rFonts w:eastAsia="宋体"/>
                <w:bCs/>
                <w:color w:val="0C0C0C"/>
                <w:sz w:val="21"/>
                <w:szCs w:val="21"/>
              </w:rPr>
            </w:pPr>
            <w:r>
              <w:rPr>
                <w:rFonts w:eastAsia="宋体"/>
                <w:bCs/>
                <w:color w:val="0C0C0C"/>
                <w:kern w:val="0"/>
                <w:sz w:val="21"/>
                <w:szCs w:val="21"/>
                <w:lang w:val="en" w:bidi="ar"/>
              </w:rPr>
              <w:t>港澳台</w:t>
            </w:r>
            <w:r>
              <w:rPr>
                <w:rFonts w:eastAsia="宋体"/>
                <w:bCs/>
                <w:color w:val="0C0C0C"/>
                <w:kern w:val="0"/>
                <w:sz w:val="21"/>
                <w:szCs w:val="21"/>
                <w:lang w:bidi="ar"/>
              </w:rPr>
              <w:t>投资企业</w:t>
            </w:r>
          </w:p>
        </w:tc>
        <w:tc>
          <w:tcPr>
            <w:tcW w:w="1612"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38</w:t>
            </w:r>
          </w:p>
        </w:tc>
        <w:tc>
          <w:tcPr>
            <w:tcW w:w="1186" w:type="pct"/>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nil"/>
              <w:right w:val="single" w:color="auto" w:sz="4" w:space="0"/>
            </w:tcBorders>
            <w:vAlign w:val="center"/>
          </w:tcPr>
          <w:p>
            <w:pPr>
              <w:widowControl/>
              <w:spacing w:line="340" w:lineRule="exact"/>
              <w:ind w:right="57"/>
              <w:jc w:val="left"/>
              <w:rPr>
                <w:rFonts w:eastAsia="宋体"/>
                <w:bCs/>
                <w:color w:val="0C0C0C"/>
                <w:sz w:val="21"/>
                <w:szCs w:val="21"/>
              </w:rPr>
            </w:pPr>
            <w:r>
              <w:rPr>
                <w:rFonts w:eastAsia="宋体"/>
                <w:bCs/>
                <w:color w:val="0C0C0C"/>
                <w:kern w:val="0"/>
                <w:sz w:val="21"/>
                <w:szCs w:val="21"/>
                <w:lang w:bidi="ar"/>
              </w:rPr>
              <w:t>外商投资企业</w:t>
            </w:r>
          </w:p>
        </w:tc>
        <w:tc>
          <w:tcPr>
            <w:tcW w:w="1612"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51</w:t>
            </w:r>
          </w:p>
        </w:tc>
        <w:tc>
          <w:tcPr>
            <w:tcW w:w="1186" w:type="pct"/>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1.44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single" w:color="auto" w:sz="12" w:space="0"/>
              <w:right w:val="single" w:color="auto" w:sz="4" w:space="0"/>
            </w:tcBorders>
            <w:vAlign w:val="center"/>
          </w:tcPr>
          <w:p>
            <w:pPr>
              <w:widowControl/>
              <w:spacing w:line="340" w:lineRule="exact"/>
              <w:ind w:right="57"/>
              <w:jc w:val="left"/>
              <w:rPr>
                <w:rFonts w:eastAsia="宋体"/>
                <w:bCs/>
                <w:color w:val="0C0C0C"/>
                <w:kern w:val="0"/>
                <w:sz w:val="21"/>
                <w:szCs w:val="21"/>
                <w:lang w:bidi="ar"/>
              </w:rPr>
            </w:pPr>
            <w:r>
              <w:rPr>
                <w:rFonts w:eastAsia="宋体"/>
                <w:bCs/>
                <w:color w:val="0C0C0C"/>
                <w:kern w:val="0"/>
                <w:sz w:val="21"/>
                <w:szCs w:val="21"/>
                <w:lang w:bidi="ar"/>
              </w:rPr>
              <w:t>其他统计类别</w:t>
            </w:r>
          </w:p>
        </w:tc>
        <w:tc>
          <w:tcPr>
            <w:tcW w:w="1612" w:type="pct"/>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NA</w:t>
            </w:r>
          </w:p>
        </w:tc>
        <w:tc>
          <w:tcPr>
            <w:tcW w:w="1186" w:type="pct"/>
            <w:tcBorders>
              <w:top w:val="nil"/>
              <w:left w:val="single" w:color="auto" w:sz="4" w:space="0"/>
              <w:bottom w:val="single" w:color="auto" w:sz="12" w:space="0"/>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NA</w:t>
            </w:r>
          </w:p>
        </w:tc>
      </w:tr>
    </w:tbl>
    <w:p>
      <w:pPr>
        <w:widowControl/>
        <w:spacing w:line="600" w:lineRule="exact"/>
        <w:ind w:firstLine="640"/>
        <w:rPr>
          <w:rFonts w:eastAsia="楷体_GB2312"/>
          <w:color w:val="0C0C0C"/>
          <w:kern w:val="0"/>
          <w:szCs w:val="32"/>
          <w:lang w:bidi="ar"/>
        </w:rPr>
      </w:pPr>
    </w:p>
    <w:p>
      <w:pPr>
        <w:widowControl/>
        <w:spacing w:line="600" w:lineRule="exact"/>
        <w:ind w:firstLine="640"/>
        <w:rPr>
          <w:rFonts w:eastAsia="楷体_GB2312"/>
          <w:color w:val="0C0C0C"/>
          <w:kern w:val="0"/>
          <w:szCs w:val="32"/>
          <w:lang w:bidi="ar"/>
        </w:rPr>
      </w:pPr>
    </w:p>
    <w:p>
      <w:pPr>
        <w:widowControl/>
        <w:adjustRightInd w:val="0"/>
        <w:snapToGrid w:val="0"/>
        <w:spacing w:line="560" w:lineRule="exact"/>
        <w:ind w:firstLine="640"/>
        <w:rPr>
          <w:rFonts w:eastAsia="楷体_GB2312"/>
          <w:color w:val="0C0C0C"/>
          <w:kern w:val="0"/>
          <w:szCs w:val="32"/>
          <w:lang w:bidi="ar"/>
        </w:rPr>
      </w:pPr>
      <w:r>
        <w:rPr>
          <w:rFonts w:eastAsia="楷体_GB2312"/>
          <w:color w:val="0C0C0C"/>
          <w:kern w:val="0"/>
          <w:szCs w:val="32"/>
          <w:lang w:bidi="ar"/>
        </w:rPr>
        <w:t>（二）主要经济指标</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2023年末，住宿和餐饮业企业法人单位资产总计</w:t>
      </w:r>
      <w:r>
        <w:rPr>
          <w:rFonts w:eastAsia="仿宋_GB2312"/>
          <w:color w:val="0C0C0C"/>
          <w:szCs w:val="32"/>
        </w:rPr>
        <w:t>761.60亿元，比2018年末增长86.3%；负债合计557.21亿元，比2018年末增长113.8%</w:t>
      </w:r>
      <w:r>
        <w:rPr>
          <w:rFonts w:eastAsia="仿宋_GB2312"/>
          <w:color w:val="0C0C0C"/>
          <w:spacing w:val="-6"/>
          <w:szCs w:val="32"/>
        </w:rPr>
        <w:t>。</w:t>
      </w:r>
    </w:p>
    <w:p>
      <w:pPr>
        <w:widowControl/>
        <w:adjustRightInd w:val="0"/>
        <w:snapToGrid w:val="0"/>
        <w:spacing w:line="560" w:lineRule="exact"/>
        <w:ind w:firstLine="616"/>
        <w:rPr>
          <w:rFonts w:eastAsia="仿宋_GB2312"/>
          <w:color w:val="0C0C0C"/>
        </w:rPr>
      </w:pPr>
      <w:r>
        <w:rPr>
          <w:rFonts w:eastAsia="仿宋_GB2312"/>
          <w:color w:val="0C0C0C"/>
          <w:spacing w:val="-6"/>
          <w:szCs w:val="32"/>
        </w:rPr>
        <w:t>2023年，住宿和餐饮业企业法人单位实现营业收入</w:t>
      </w:r>
      <w:r>
        <w:rPr>
          <w:rFonts w:eastAsia="仿宋_GB2312"/>
          <w:color w:val="0C0C0C"/>
          <w:szCs w:val="32"/>
        </w:rPr>
        <w:t>516.05亿元，比2018年增长100.2%</w:t>
      </w:r>
      <w:r>
        <w:rPr>
          <w:rFonts w:eastAsia="仿宋_GB2312"/>
          <w:color w:val="0C0C0C"/>
          <w:spacing w:val="-6"/>
          <w:szCs w:val="32"/>
        </w:rPr>
        <w:t>（详见表4-9）。</w:t>
      </w:r>
    </w:p>
    <w:p>
      <w:pPr>
        <w:widowControl/>
        <w:spacing w:before="173" w:beforeLines="30" w:line="340" w:lineRule="exact"/>
        <w:jc w:val="center"/>
        <w:rPr>
          <w:rFonts w:eastAsia="宋体"/>
          <w:b/>
          <w:color w:val="0C0C0C"/>
          <w:kern w:val="0"/>
          <w:sz w:val="24"/>
          <w:lang w:bidi="ar"/>
        </w:rPr>
      </w:pPr>
      <w:r>
        <w:rPr>
          <w:rFonts w:eastAsia="宋体"/>
          <w:b/>
          <w:color w:val="0C0C0C"/>
          <w:kern w:val="0"/>
          <w:sz w:val="24"/>
          <w:lang w:bidi="ar"/>
        </w:rPr>
        <w:t>表4-9　按行业中类分组的住宿和餐饮业</w:t>
      </w:r>
    </w:p>
    <w:p>
      <w:pPr>
        <w:widowControl/>
        <w:spacing w:line="340" w:lineRule="exact"/>
        <w:jc w:val="center"/>
        <w:rPr>
          <w:rFonts w:eastAsia="宋体"/>
          <w:b/>
          <w:color w:val="0C0C0C"/>
          <w:kern w:val="0"/>
          <w:sz w:val="24"/>
          <w:lang w:bidi="ar"/>
        </w:rPr>
      </w:pPr>
      <w:r>
        <w:rPr>
          <w:rFonts w:eastAsia="宋体"/>
          <w:b/>
          <w:color w:val="0C0C0C"/>
          <w:kern w:val="0"/>
          <w:sz w:val="24"/>
          <w:lang w:bidi="ar"/>
        </w:rPr>
        <w:t xml:space="preserve">     企业法人单位主要经济指标</w:t>
      </w:r>
    </w:p>
    <w:tbl>
      <w:tblPr>
        <w:tblStyle w:val="19"/>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59"/>
        <w:gridCol w:w="1663"/>
        <w:gridCol w:w="1661"/>
        <w:gridCol w:w="16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82" w:type="pct"/>
            <w:tcBorders>
              <w:top w:val="single" w:color="auto" w:sz="12" w:space="0"/>
              <w:left w:val="nil"/>
              <w:bottom w:val="single" w:color="auto" w:sz="4" w:space="0"/>
              <w:right w:val="single" w:color="auto" w:sz="4" w:space="0"/>
            </w:tcBorders>
            <w:vAlign w:val="center"/>
          </w:tcPr>
          <w:p>
            <w:pPr>
              <w:widowControl/>
              <w:spacing w:line="320" w:lineRule="exact"/>
              <w:jc w:val="left"/>
              <w:rPr>
                <w:rFonts w:eastAsia="宋体"/>
                <w:color w:val="0C0C0C"/>
                <w:sz w:val="21"/>
                <w:szCs w:val="21"/>
              </w:rPr>
            </w:pPr>
            <w:r>
              <w:rPr>
                <w:rFonts w:eastAsia="宋体"/>
                <w:color w:val="0C0C0C"/>
                <w:kern w:val="0"/>
                <w:sz w:val="21"/>
                <w:szCs w:val="21"/>
                <w:lang w:bidi="ar"/>
              </w:rPr>
              <w:t>　</w:t>
            </w:r>
          </w:p>
        </w:tc>
        <w:tc>
          <w:tcPr>
            <w:tcW w:w="940"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资产总计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939"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负债合计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939"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营业收入</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single" w:color="auto" w:sz="4" w:space="0"/>
              <w:left w:val="nil"/>
              <w:bottom w:val="nil"/>
              <w:right w:val="single" w:color="auto" w:sz="4" w:space="0"/>
            </w:tcBorders>
            <w:vAlign w:val="center"/>
          </w:tcPr>
          <w:p>
            <w:pPr>
              <w:widowControl/>
              <w:spacing w:line="340" w:lineRule="exact"/>
              <w:ind w:left="57" w:right="57"/>
              <w:jc w:val="center"/>
              <w:rPr>
                <w:rFonts w:eastAsia="宋体"/>
                <w:color w:val="0C0C0C"/>
                <w:sz w:val="21"/>
                <w:szCs w:val="21"/>
              </w:rPr>
            </w:pPr>
            <w:r>
              <w:rPr>
                <w:rFonts w:eastAsia="宋体"/>
                <w:b/>
                <w:color w:val="0C0C0C"/>
                <w:kern w:val="0"/>
                <w:sz w:val="21"/>
                <w:szCs w:val="21"/>
                <w:lang w:bidi="ar"/>
              </w:rPr>
              <w:t>合　计</w:t>
            </w:r>
          </w:p>
        </w:tc>
        <w:tc>
          <w:tcPr>
            <w:tcW w:w="940" w:type="pct"/>
            <w:tcBorders>
              <w:top w:val="single" w:color="auto" w:sz="4" w:space="0"/>
              <w:left w:val="single" w:color="auto" w:sz="4" w:space="0"/>
              <w:bottom w:val="nil"/>
              <w:right w:val="single" w:color="auto" w:sz="4" w:space="0"/>
            </w:tcBorders>
          </w:tcPr>
          <w:p>
            <w:pPr>
              <w:widowControl/>
              <w:spacing w:line="340" w:lineRule="exact"/>
              <w:ind w:left="57" w:right="57"/>
              <w:jc w:val="right"/>
              <w:rPr>
                <w:rFonts w:eastAsia="宋体"/>
                <w:b/>
                <w:color w:val="0C0C0C"/>
                <w:kern w:val="0"/>
                <w:sz w:val="21"/>
                <w:szCs w:val="21"/>
                <w:lang w:bidi="ar"/>
              </w:rPr>
            </w:pPr>
            <w:r>
              <w:rPr>
                <w:rFonts w:eastAsia="宋体"/>
                <w:b/>
                <w:color w:val="0C0C0C"/>
                <w:kern w:val="0"/>
                <w:sz w:val="21"/>
                <w:szCs w:val="21"/>
                <w:lang w:bidi="ar"/>
              </w:rPr>
              <w:t>761.60</w:t>
            </w:r>
          </w:p>
        </w:tc>
        <w:tc>
          <w:tcPr>
            <w:tcW w:w="939" w:type="pct"/>
            <w:tcBorders>
              <w:top w:val="single" w:color="auto" w:sz="4" w:space="0"/>
              <w:left w:val="single" w:color="auto" w:sz="4" w:space="0"/>
              <w:bottom w:val="nil"/>
              <w:right w:val="single" w:color="auto" w:sz="4" w:space="0"/>
            </w:tcBorders>
          </w:tcPr>
          <w:p>
            <w:pPr>
              <w:widowControl/>
              <w:spacing w:line="340" w:lineRule="exact"/>
              <w:ind w:left="57" w:right="57"/>
              <w:jc w:val="right"/>
              <w:rPr>
                <w:rFonts w:eastAsia="宋体"/>
                <w:b/>
                <w:color w:val="0C0C0C"/>
                <w:kern w:val="0"/>
                <w:sz w:val="21"/>
                <w:szCs w:val="21"/>
                <w:lang w:bidi="ar"/>
              </w:rPr>
            </w:pPr>
            <w:r>
              <w:rPr>
                <w:rFonts w:eastAsia="宋体"/>
                <w:b/>
                <w:color w:val="0C0C0C"/>
                <w:kern w:val="0"/>
                <w:sz w:val="21"/>
                <w:szCs w:val="21"/>
                <w:lang w:bidi="ar"/>
              </w:rPr>
              <w:t>557.21</w:t>
            </w:r>
          </w:p>
        </w:tc>
        <w:tc>
          <w:tcPr>
            <w:tcW w:w="939" w:type="pct"/>
            <w:tcBorders>
              <w:top w:val="single" w:color="auto" w:sz="4" w:space="0"/>
              <w:left w:val="single" w:color="auto" w:sz="4" w:space="0"/>
              <w:bottom w:val="nil"/>
              <w:right w:val="nil"/>
            </w:tcBorders>
          </w:tcPr>
          <w:p>
            <w:pPr>
              <w:widowControl/>
              <w:spacing w:line="340" w:lineRule="exact"/>
              <w:ind w:left="57" w:right="57"/>
              <w:jc w:val="right"/>
              <w:rPr>
                <w:rFonts w:eastAsia="宋体"/>
                <w:b/>
                <w:color w:val="0C0C0C"/>
                <w:kern w:val="0"/>
                <w:sz w:val="21"/>
                <w:szCs w:val="21"/>
                <w:lang w:bidi="ar"/>
              </w:rPr>
            </w:pPr>
            <w:r>
              <w:rPr>
                <w:rFonts w:eastAsia="宋体"/>
                <w:b/>
                <w:color w:val="0C0C0C"/>
                <w:kern w:val="0"/>
                <w:sz w:val="21"/>
                <w:szCs w:val="21"/>
                <w:lang w:bidi="ar"/>
              </w:rPr>
              <w:t>516.05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b/>
                <w:color w:val="0C0C0C"/>
                <w:kern w:val="0"/>
                <w:sz w:val="21"/>
                <w:szCs w:val="21"/>
                <w:lang w:bidi="ar"/>
              </w:rPr>
              <w:t>住宿业</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b/>
                <w:color w:val="0C0C0C"/>
                <w:sz w:val="21"/>
                <w:szCs w:val="21"/>
              </w:rPr>
            </w:pPr>
            <w:r>
              <w:rPr>
                <w:rFonts w:eastAsia="宋体"/>
                <w:b/>
                <w:color w:val="0C0C0C"/>
                <w:sz w:val="21"/>
                <w:szCs w:val="21"/>
              </w:rPr>
              <w:t>466.19</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b/>
                <w:color w:val="0C0C0C"/>
                <w:sz w:val="21"/>
                <w:szCs w:val="21"/>
              </w:rPr>
            </w:pPr>
            <w:r>
              <w:rPr>
                <w:rFonts w:eastAsia="宋体"/>
                <w:b/>
                <w:color w:val="0C0C0C"/>
                <w:sz w:val="21"/>
                <w:szCs w:val="21"/>
              </w:rPr>
              <w:t>324.53</w:t>
            </w:r>
          </w:p>
        </w:tc>
        <w:tc>
          <w:tcPr>
            <w:tcW w:w="939" w:type="pct"/>
            <w:tcBorders>
              <w:top w:val="nil"/>
              <w:left w:val="single" w:color="auto" w:sz="4" w:space="0"/>
              <w:bottom w:val="nil"/>
              <w:right w:val="nil"/>
            </w:tcBorders>
          </w:tcPr>
          <w:p>
            <w:pPr>
              <w:widowControl/>
              <w:spacing w:line="340" w:lineRule="exact"/>
              <w:ind w:right="57"/>
              <w:jc w:val="right"/>
              <w:rPr>
                <w:rFonts w:eastAsia="宋体"/>
                <w:b/>
                <w:color w:val="0C0C0C"/>
                <w:sz w:val="21"/>
                <w:szCs w:val="21"/>
              </w:rPr>
            </w:pPr>
            <w:r>
              <w:rPr>
                <w:rFonts w:eastAsia="宋体"/>
                <w:b/>
                <w:color w:val="0C0C0C"/>
                <w:sz w:val="21"/>
                <w:szCs w:val="21"/>
              </w:rPr>
              <w:t>126.29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旅游饭店</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262.91</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154.66</w:t>
            </w:r>
          </w:p>
        </w:tc>
        <w:tc>
          <w:tcPr>
            <w:tcW w:w="939"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72.03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一般旅馆</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189.99</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157.83</w:t>
            </w:r>
          </w:p>
        </w:tc>
        <w:tc>
          <w:tcPr>
            <w:tcW w:w="939"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49.72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民宿服务</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4.74</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3.01</w:t>
            </w:r>
          </w:p>
        </w:tc>
        <w:tc>
          <w:tcPr>
            <w:tcW w:w="939"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0.88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露营地服务</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0.41</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1.16</w:t>
            </w:r>
          </w:p>
        </w:tc>
        <w:tc>
          <w:tcPr>
            <w:tcW w:w="939"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其他住宿业</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8.13</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7.88</w:t>
            </w:r>
          </w:p>
        </w:tc>
        <w:tc>
          <w:tcPr>
            <w:tcW w:w="939"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3.55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b/>
                <w:color w:val="0C0C0C"/>
                <w:kern w:val="0"/>
                <w:sz w:val="21"/>
                <w:szCs w:val="21"/>
                <w:lang w:bidi="ar"/>
              </w:rPr>
              <w:t>餐饮业</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b/>
                <w:color w:val="0C0C0C"/>
                <w:sz w:val="21"/>
                <w:szCs w:val="21"/>
              </w:rPr>
            </w:pPr>
            <w:r>
              <w:rPr>
                <w:rFonts w:eastAsia="宋体"/>
                <w:b/>
                <w:color w:val="0C0C0C"/>
                <w:sz w:val="21"/>
                <w:szCs w:val="21"/>
              </w:rPr>
              <w:t>295.41</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b/>
                <w:color w:val="0C0C0C"/>
                <w:sz w:val="21"/>
                <w:szCs w:val="21"/>
              </w:rPr>
            </w:pPr>
            <w:r>
              <w:rPr>
                <w:rFonts w:eastAsia="宋体"/>
                <w:b/>
                <w:color w:val="0C0C0C"/>
                <w:sz w:val="21"/>
                <w:szCs w:val="21"/>
              </w:rPr>
              <w:t>232.67</w:t>
            </w:r>
          </w:p>
        </w:tc>
        <w:tc>
          <w:tcPr>
            <w:tcW w:w="939" w:type="pct"/>
            <w:tcBorders>
              <w:top w:val="nil"/>
              <w:left w:val="single" w:color="auto" w:sz="4" w:space="0"/>
              <w:bottom w:val="nil"/>
              <w:right w:val="nil"/>
            </w:tcBorders>
          </w:tcPr>
          <w:p>
            <w:pPr>
              <w:widowControl/>
              <w:spacing w:line="340" w:lineRule="exact"/>
              <w:ind w:right="57"/>
              <w:jc w:val="right"/>
              <w:rPr>
                <w:rFonts w:eastAsia="宋体"/>
                <w:b/>
                <w:color w:val="0C0C0C"/>
                <w:sz w:val="21"/>
                <w:szCs w:val="21"/>
              </w:rPr>
            </w:pPr>
            <w:r>
              <w:rPr>
                <w:rFonts w:eastAsia="宋体"/>
                <w:b/>
                <w:color w:val="0C0C0C"/>
                <w:sz w:val="21"/>
                <w:szCs w:val="21"/>
              </w:rPr>
              <w:t>389.76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正餐服务</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219.1</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170.57</w:t>
            </w:r>
          </w:p>
        </w:tc>
        <w:tc>
          <w:tcPr>
            <w:tcW w:w="939"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254.37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快餐服务</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54.47</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43.18</w:t>
            </w:r>
          </w:p>
        </w:tc>
        <w:tc>
          <w:tcPr>
            <w:tcW w:w="939"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91.96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饮料及冷饮服务</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9.60</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8.92</w:t>
            </w:r>
          </w:p>
        </w:tc>
        <w:tc>
          <w:tcPr>
            <w:tcW w:w="939"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19.98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nil"/>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餐饮配送及外卖送餐服务</w:t>
            </w:r>
          </w:p>
        </w:tc>
        <w:tc>
          <w:tcPr>
            <w:tcW w:w="940"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3.84</w:t>
            </w:r>
          </w:p>
        </w:tc>
        <w:tc>
          <w:tcPr>
            <w:tcW w:w="939"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2.68</w:t>
            </w:r>
          </w:p>
        </w:tc>
        <w:tc>
          <w:tcPr>
            <w:tcW w:w="939" w:type="pct"/>
            <w:tcBorders>
              <w:top w:val="nil"/>
              <w:left w:val="single" w:color="auto" w:sz="4" w:space="0"/>
              <w:bottom w:val="nil"/>
              <w:right w:val="nil"/>
            </w:tcBorders>
          </w:tcPr>
          <w:p>
            <w:pPr>
              <w:widowControl/>
              <w:spacing w:line="340" w:lineRule="exact"/>
              <w:ind w:right="57"/>
              <w:jc w:val="right"/>
              <w:rPr>
                <w:rFonts w:eastAsia="宋体"/>
                <w:color w:val="0C0C0C"/>
                <w:sz w:val="21"/>
                <w:szCs w:val="21"/>
              </w:rPr>
            </w:pPr>
            <w:r>
              <w:rPr>
                <w:rFonts w:eastAsia="宋体"/>
                <w:color w:val="0C0C0C"/>
                <w:sz w:val="21"/>
                <w:szCs w:val="21"/>
              </w:rPr>
              <w:t>10.26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2" w:type="pct"/>
            <w:tcBorders>
              <w:top w:val="nil"/>
              <w:left w:val="nil"/>
              <w:bottom w:val="single" w:color="auto" w:sz="12" w:space="0"/>
              <w:right w:val="single" w:color="auto" w:sz="4" w:space="0"/>
            </w:tcBorders>
            <w:vAlign w:val="center"/>
          </w:tcPr>
          <w:p>
            <w:pPr>
              <w:widowControl/>
              <w:spacing w:line="340" w:lineRule="exact"/>
              <w:ind w:right="57" w:firstLine="420"/>
              <w:jc w:val="left"/>
              <w:rPr>
                <w:rFonts w:eastAsia="宋体"/>
                <w:color w:val="0C0C0C"/>
                <w:sz w:val="21"/>
                <w:szCs w:val="21"/>
              </w:rPr>
            </w:pPr>
            <w:r>
              <w:rPr>
                <w:rFonts w:eastAsia="宋体"/>
                <w:color w:val="0C0C0C"/>
                <w:kern w:val="0"/>
                <w:sz w:val="21"/>
                <w:szCs w:val="21"/>
                <w:lang w:bidi="ar"/>
              </w:rPr>
              <w:t>其他餐饮业</w:t>
            </w:r>
          </w:p>
        </w:tc>
        <w:tc>
          <w:tcPr>
            <w:tcW w:w="940" w:type="pct"/>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8.40</w:t>
            </w:r>
          </w:p>
        </w:tc>
        <w:tc>
          <w:tcPr>
            <w:tcW w:w="939" w:type="pct"/>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color w:val="0C0C0C"/>
                <w:sz w:val="21"/>
                <w:szCs w:val="21"/>
              </w:rPr>
            </w:pPr>
            <w:r>
              <w:rPr>
                <w:rFonts w:eastAsia="宋体"/>
                <w:color w:val="0C0C0C"/>
                <w:sz w:val="21"/>
                <w:szCs w:val="21"/>
              </w:rPr>
              <w:t>7.33</w:t>
            </w:r>
          </w:p>
        </w:tc>
        <w:tc>
          <w:tcPr>
            <w:tcW w:w="939" w:type="pct"/>
            <w:tcBorders>
              <w:top w:val="nil"/>
              <w:left w:val="single" w:color="auto" w:sz="4" w:space="0"/>
              <w:bottom w:val="single" w:color="auto" w:sz="12" w:space="0"/>
              <w:right w:val="nil"/>
            </w:tcBorders>
          </w:tcPr>
          <w:p>
            <w:pPr>
              <w:widowControl/>
              <w:spacing w:line="340" w:lineRule="exact"/>
              <w:ind w:right="57"/>
              <w:jc w:val="right"/>
              <w:rPr>
                <w:rFonts w:eastAsia="宋体"/>
                <w:color w:val="0C0C0C"/>
                <w:sz w:val="21"/>
                <w:szCs w:val="21"/>
              </w:rPr>
            </w:pPr>
            <w:r>
              <w:rPr>
                <w:rFonts w:eastAsia="宋体"/>
                <w:color w:val="0C0C0C"/>
                <w:sz w:val="21"/>
                <w:szCs w:val="21"/>
              </w:rPr>
              <w:t>13.19</w:t>
            </w:r>
          </w:p>
        </w:tc>
      </w:tr>
    </w:tbl>
    <w:p>
      <w:pPr>
        <w:widowControl/>
        <w:adjustRightInd w:val="0"/>
        <w:snapToGrid w:val="0"/>
        <w:spacing w:line="520" w:lineRule="exact"/>
        <w:ind w:firstLine="640"/>
        <w:rPr>
          <w:color w:val="0C0C0C"/>
          <w:szCs w:val="32"/>
        </w:rPr>
      </w:pPr>
      <w:r>
        <w:rPr>
          <w:rFonts w:eastAsia="黑体"/>
          <w:bCs/>
          <w:color w:val="0C0C0C"/>
          <w:kern w:val="0"/>
          <w:szCs w:val="32"/>
          <w:lang w:bidi="ar"/>
        </w:rPr>
        <w:t>四、信息传输、软件和信息技术服务业</w:t>
      </w:r>
    </w:p>
    <w:p>
      <w:pPr>
        <w:widowControl/>
        <w:adjustRightInd w:val="0"/>
        <w:snapToGrid w:val="0"/>
        <w:spacing w:line="520" w:lineRule="exact"/>
        <w:ind w:firstLine="640"/>
        <w:rPr>
          <w:color w:val="0C0C0C"/>
          <w:szCs w:val="32"/>
        </w:rPr>
      </w:pPr>
      <w:r>
        <w:rPr>
          <w:rFonts w:eastAsia="楷体_GB2312"/>
          <w:color w:val="0C0C0C"/>
          <w:kern w:val="0"/>
          <w:szCs w:val="32"/>
          <w:lang w:bidi="ar"/>
        </w:rPr>
        <w:t>（一）企业法人单位数和从业人员</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rPr>
        <w:t>2023年末，全市共有信息传输、软件和信息技术服务业企业法人单位</w:t>
      </w:r>
      <w:r>
        <w:rPr>
          <w:rFonts w:eastAsia="仿宋_GB2312"/>
          <w:color w:val="0C0C0C"/>
          <w:szCs w:val="32"/>
        </w:rPr>
        <w:t>4.69万</w:t>
      </w:r>
      <w:r>
        <w:rPr>
          <w:rFonts w:eastAsia="仿宋_GB2312"/>
          <w:color w:val="0C0C0C"/>
          <w:spacing w:val="-6"/>
          <w:szCs w:val="32"/>
        </w:rPr>
        <w:t>个，从业人员</w:t>
      </w:r>
      <w:r>
        <w:rPr>
          <w:rFonts w:eastAsia="仿宋_GB2312"/>
          <w:color w:val="0C0C0C"/>
          <w:szCs w:val="32"/>
        </w:rPr>
        <w:t>44.93万人，分别比2018年末增长196.6%和52.1%</w:t>
      </w:r>
      <w:r>
        <w:rPr>
          <w:rFonts w:eastAsia="仿宋_GB2312"/>
          <w:color w:val="0C0C0C"/>
          <w:spacing w:val="-6"/>
          <w:szCs w:val="32"/>
        </w:rPr>
        <w:t>（详见表4-10）。</w:t>
      </w:r>
    </w:p>
    <w:p>
      <w:pPr>
        <w:pStyle w:val="2"/>
        <w:ind w:firstLine="592"/>
      </w:pPr>
    </w:p>
    <w:p>
      <w:pPr>
        <w:widowControl/>
        <w:spacing w:line="340" w:lineRule="exact"/>
        <w:jc w:val="center"/>
        <w:rPr>
          <w:rFonts w:eastAsia="宋体"/>
          <w:b/>
          <w:color w:val="0C0C0C"/>
          <w:kern w:val="0"/>
          <w:sz w:val="24"/>
          <w:lang w:bidi="ar"/>
        </w:rPr>
      </w:pPr>
      <w:r>
        <w:rPr>
          <w:rFonts w:eastAsia="宋体"/>
          <w:b/>
          <w:color w:val="0C0C0C"/>
          <w:kern w:val="0"/>
          <w:sz w:val="24"/>
          <w:lang w:bidi="ar"/>
        </w:rPr>
        <w:t>表4-10　按行业大类分组的信息传输、软件和信息技术服务业</w:t>
      </w:r>
    </w:p>
    <w:p>
      <w:pPr>
        <w:widowControl/>
        <w:spacing w:line="340" w:lineRule="exact"/>
        <w:jc w:val="center"/>
        <w:rPr>
          <w:rFonts w:eastAsia="宋体"/>
          <w:b/>
          <w:color w:val="0C0C0C"/>
          <w:kern w:val="0"/>
          <w:sz w:val="24"/>
          <w:lang w:bidi="ar"/>
        </w:rPr>
      </w:pPr>
      <w:r>
        <w:rPr>
          <w:rFonts w:eastAsia="宋体"/>
          <w:b/>
          <w:color w:val="0C0C0C"/>
          <w:kern w:val="0"/>
          <w:sz w:val="24"/>
          <w:lang w:bidi="ar"/>
        </w:rPr>
        <w:t>企业法人单位数和从业人员</w:t>
      </w:r>
    </w:p>
    <w:tbl>
      <w:tblPr>
        <w:tblStyle w:val="1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50"/>
        <w:gridCol w:w="2786"/>
        <w:gridCol w:w="20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50" w:type="dxa"/>
            <w:tcBorders>
              <w:top w:val="single" w:color="auto" w:sz="12" w:space="0"/>
              <w:left w:val="nil"/>
              <w:bottom w:val="single" w:color="auto" w:sz="4" w:space="0"/>
              <w:right w:val="single" w:color="auto" w:sz="4" w:space="0"/>
            </w:tcBorders>
            <w:vAlign w:val="center"/>
          </w:tcPr>
          <w:p>
            <w:pPr>
              <w:widowControl/>
              <w:spacing w:line="320" w:lineRule="exact"/>
              <w:ind w:firstLine="480"/>
              <w:jc w:val="center"/>
              <w:rPr>
                <w:rFonts w:eastAsia="宋体"/>
                <w:color w:val="0C0C0C"/>
                <w:sz w:val="21"/>
                <w:szCs w:val="21"/>
              </w:rPr>
            </w:pPr>
          </w:p>
        </w:tc>
        <w:tc>
          <w:tcPr>
            <w:tcW w:w="2786" w:type="dxa"/>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2038" w:type="dxa"/>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从业人员</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single" w:color="auto" w:sz="4" w:space="0"/>
              <w:left w:val="nil"/>
              <w:bottom w:val="nil"/>
              <w:right w:val="single" w:color="auto" w:sz="4" w:space="0"/>
            </w:tcBorders>
            <w:vAlign w:val="center"/>
          </w:tcPr>
          <w:p>
            <w:pPr>
              <w:widowControl/>
              <w:spacing w:line="340" w:lineRule="exact"/>
              <w:ind w:right="57"/>
              <w:jc w:val="center"/>
              <w:rPr>
                <w:rFonts w:eastAsia="宋体"/>
                <w:color w:val="0C0C0C"/>
                <w:sz w:val="21"/>
                <w:szCs w:val="21"/>
              </w:rPr>
            </w:pPr>
            <w:r>
              <w:rPr>
                <w:rFonts w:eastAsia="宋体"/>
                <w:b/>
                <w:color w:val="0C0C0C"/>
                <w:kern w:val="0"/>
                <w:sz w:val="21"/>
                <w:szCs w:val="21"/>
                <w:lang w:bidi="ar"/>
              </w:rPr>
              <w:t>合　计</w:t>
            </w:r>
          </w:p>
        </w:tc>
        <w:tc>
          <w:tcPr>
            <w:tcW w:w="2786" w:type="dxa"/>
            <w:tcBorders>
              <w:top w:val="single" w:color="auto" w:sz="4" w:space="0"/>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46897</w:t>
            </w:r>
          </w:p>
        </w:tc>
        <w:tc>
          <w:tcPr>
            <w:tcW w:w="2038" w:type="dxa"/>
            <w:tcBorders>
              <w:top w:val="single" w:color="auto" w:sz="4" w:space="0"/>
              <w:left w:val="single" w:color="auto" w:sz="4" w:space="0"/>
              <w:bottom w:val="nil"/>
              <w:right w:val="nil"/>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44.93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电信、广播电视和卫星传输服务</w:t>
            </w:r>
          </w:p>
        </w:tc>
        <w:tc>
          <w:tcPr>
            <w:tcW w:w="2786"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889</w:t>
            </w:r>
          </w:p>
        </w:tc>
        <w:tc>
          <w:tcPr>
            <w:tcW w:w="2038"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5.99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850" w:type="dxa"/>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互联网和相关服务</w:t>
            </w:r>
          </w:p>
        </w:tc>
        <w:tc>
          <w:tcPr>
            <w:tcW w:w="2786" w:type="dxa"/>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6260</w:t>
            </w:r>
          </w:p>
        </w:tc>
        <w:tc>
          <w:tcPr>
            <w:tcW w:w="2038" w:type="dxa"/>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8.51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single" w:color="auto" w:sz="12" w:space="0"/>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软件和信息技术服务业</w:t>
            </w:r>
          </w:p>
        </w:tc>
        <w:tc>
          <w:tcPr>
            <w:tcW w:w="2786" w:type="dxa"/>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39748</w:t>
            </w:r>
          </w:p>
        </w:tc>
        <w:tc>
          <w:tcPr>
            <w:tcW w:w="2038" w:type="dxa"/>
            <w:tcBorders>
              <w:top w:val="nil"/>
              <w:left w:val="single" w:color="auto" w:sz="4" w:space="0"/>
              <w:bottom w:val="single" w:color="auto" w:sz="12" w:space="0"/>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30.44</w:t>
            </w:r>
          </w:p>
        </w:tc>
      </w:tr>
    </w:tbl>
    <w:p>
      <w:pPr>
        <w:widowControl/>
        <w:adjustRightInd w:val="0"/>
        <w:snapToGrid w:val="0"/>
        <w:spacing w:line="520" w:lineRule="exact"/>
        <w:ind w:firstLine="618"/>
        <w:rPr>
          <w:rFonts w:eastAsia="仿宋_GB2312"/>
          <w:color w:val="0C0C0C"/>
          <w:spacing w:val="-6"/>
          <w:szCs w:val="32"/>
        </w:rPr>
      </w:pPr>
      <w:r>
        <w:rPr>
          <w:rFonts w:eastAsia="仿宋_GB2312"/>
          <w:color w:val="0C0C0C"/>
          <w:spacing w:val="-6"/>
          <w:szCs w:val="32"/>
        </w:rPr>
        <w:t>在信息传输、软件和信息技术服务业企业法人单位中，内资企业占</w:t>
      </w:r>
      <w:r>
        <w:rPr>
          <w:rFonts w:eastAsia="仿宋_GB2312"/>
          <w:color w:val="0C0C0C"/>
          <w:szCs w:val="32"/>
        </w:rPr>
        <w:t>99.0%，港澳台投资企业占0.4%，外商投资企业占0.6%</w:t>
      </w:r>
      <w:r>
        <w:rPr>
          <w:rFonts w:eastAsia="仿宋_GB2312"/>
          <w:color w:val="0C0C0C"/>
          <w:spacing w:val="-6"/>
          <w:szCs w:val="32"/>
        </w:rPr>
        <w:t>。</w:t>
      </w:r>
    </w:p>
    <w:p>
      <w:pPr>
        <w:widowControl/>
        <w:adjustRightInd w:val="0"/>
        <w:snapToGrid w:val="0"/>
        <w:spacing w:line="520" w:lineRule="exact"/>
        <w:ind w:firstLine="618"/>
        <w:rPr>
          <w:rFonts w:eastAsia="仿宋_GB2312"/>
          <w:color w:val="0C0C0C"/>
          <w:spacing w:val="-6"/>
          <w:szCs w:val="32"/>
        </w:rPr>
      </w:pPr>
      <w:r>
        <w:rPr>
          <w:rFonts w:eastAsia="仿宋_GB2312"/>
          <w:color w:val="0C0C0C"/>
          <w:spacing w:val="-6"/>
          <w:szCs w:val="32"/>
        </w:rPr>
        <w:t>在信息传输、软件和信息技术服务业企业法人单位从业人员中，内资企业占</w:t>
      </w:r>
      <w:r>
        <w:rPr>
          <w:rFonts w:eastAsia="仿宋_GB2312"/>
          <w:color w:val="0C0C0C"/>
          <w:szCs w:val="32"/>
        </w:rPr>
        <w:t>94.8%，港澳台投资企业占2.7%，外商投资企业占2.5%</w:t>
      </w:r>
      <w:r>
        <w:rPr>
          <w:rFonts w:eastAsia="仿宋_GB2312"/>
          <w:color w:val="0C0C0C"/>
          <w:spacing w:val="-6"/>
          <w:szCs w:val="32"/>
        </w:rPr>
        <w:t>（详见表4-11）。</w:t>
      </w:r>
    </w:p>
    <w:p>
      <w:pPr>
        <w:widowControl/>
        <w:spacing w:before="173" w:beforeLines="30" w:line="380" w:lineRule="exact"/>
        <w:jc w:val="center"/>
        <w:rPr>
          <w:rFonts w:eastAsia="宋体"/>
          <w:b/>
          <w:color w:val="0C0C0C"/>
          <w:kern w:val="0"/>
          <w:sz w:val="24"/>
          <w:lang w:bidi="ar"/>
        </w:rPr>
      </w:pPr>
      <w:r>
        <w:rPr>
          <w:rFonts w:eastAsia="宋体"/>
          <w:b/>
          <w:color w:val="0C0C0C"/>
          <w:kern w:val="0"/>
          <w:sz w:val="24"/>
          <w:lang w:bidi="ar"/>
        </w:rPr>
        <w:t>表4-11　按登记注册统计类别分组的信息传输、软件和信息技术服务业</w:t>
      </w:r>
    </w:p>
    <w:p>
      <w:pPr>
        <w:widowControl/>
        <w:spacing w:line="380" w:lineRule="exact"/>
        <w:jc w:val="center"/>
        <w:rPr>
          <w:rFonts w:eastAsia="宋体"/>
          <w:b/>
          <w:color w:val="0C0C0C"/>
          <w:kern w:val="0"/>
          <w:sz w:val="24"/>
          <w:lang w:bidi="ar"/>
        </w:rPr>
      </w:pPr>
      <w:r>
        <w:rPr>
          <w:rFonts w:eastAsia="宋体"/>
          <w:b/>
          <w:color w:val="0C0C0C"/>
          <w:kern w:val="0"/>
          <w:sz w:val="24"/>
          <w:lang w:bidi="ar"/>
        </w:rPr>
        <w:t>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93"/>
        <w:gridCol w:w="2850"/>
        <w:gridCol w:w="20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2" w:type="pct"/>
            <w:tcBorders>
              <w:top w:val="single" w:color="auto" w:sz="12" w:space="0"/>
              <w:left w:val="nil"/>
              <w:bottom w:val="single" w:color="auto" w:sz="4" w:space="0"/>
              <w:right w:val="single" w:color="auto" w:sz="4" w:space="0"/>
            </w:tcBorders>
            <w:vAlign w:val="center"/>
          </w:tcPr>
          <w:p>
            <w:pPr>
              <w:widowControl/>
              <w:spacing w:line="320" w:lineRule="exact"/>
              <w:jc w:val="left"/>
              <w:rPr>
                <w:rFonts w:eastAsia="宋体"/>
                <w:color w:val="0C0C0C"/>
                <w:sz w:val="21"/>
                <w:szCs w:val="21"/>
              </w:rPr>
            </w:pPr>
          </w:p>
        </w:tc>
        <w:tc>
          <w:tcPr>
            <w:tcW w:w="1612"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1186"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从业人员</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single" w:color="auto" w:sz="4" w:space="0"/>
              <w:left w:val="nil"/>
              <w:bottom w:val="nil"/>
              <w:right w:val="single" w:color="auto" w:sz="4" w:space="0"/>
            </w:tcBorders>
            <w:vAlign w:val="center"/>
          </w:tcPr>
          <w:p>
            <w:pPr>
              <w:widowControl/>
              <w:spacing w:line="340" w:lineRule="exact"/>
              <w:ind w:right="57"/>
              <w:jc w:val="center"/>
              <w:rPr>
                <w:rFonts w:eastAsia="宋体"/>
                <w:color w:val="0C0C0C"/>
                <w:sz w:val="21"/>
                <w:szCs w:val="21"/>
              </w:rPr>
            </w:pPr>
            <w:r>
              <w:rPr>
                <w:rFonts w:eastAsia="宋体"/>
                <w:b/>
                <w:color w:val="0C0C0C"/>
                <w:kern w:val="0"/>
                <w:sz w:val="21"/>
                <w:szCs w:val="21"/>
                <w:lang w:bidi="ar"/>
              </w:rPr>
              <w:t>合　计</w:t>
            </w:r>
          </w:p>
        </w:tc>
        <w:tc>
          <w:tcPr>
            <w:tcW w:w="1612" w:type="pct"/>
            <w:tcBorders>
              <w:top w:val="single" w:color="auto" w:sz="4" w:space="0"/>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46897</w:t>
            </w:r>
          </w:p>
        </w:tc>
        <w:tc>
          <w:tcPr>
            <w:tcW w:w="1186" w:type="pct"/>
            <w:tcBorders>
              <w:top w:val="single" w:color="auto" w:sz="4" w:space="0"/>
              <w:left w:val="single" w:color="auto" w:sz="4" w:space="0"/>
              <w:bottom w:val="nil"/>
              <w:right w:val="nil"/>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44.93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nil"/>
              <w:right w:val="single" w:color="auto" w:sz="4" w:space="0"/>
            </w:tcBorders>
            <w:vAlign w:val="center"/>
          </w:tcPr>
          <w:p>
            <w:pPr>
              <w:widowControl/>
              <w:spacing w:line="340" w:lineRule="exact"/>
              <w:ind w:right="57"/>
              <w:jc w:val="left"/>
              <w:rPr>
                <w:rFonts w:eastAsia="宋体"/>
                <w:bCs/>
                <w:color w:val="0C0C0C"/>
                <w:sz w:val="21"/>
                <w:szCs w:val="21"/>
              </w:rPr>
            </w:pPr>
            <w:r>
              <w:rPr>
                <w:rFonts w:eastAsia="宋体"/>
                <w:bCs/>
                <w:color w:val="0C0C0C"/>
                <w:kern w:val="0"/>
                <w:sz w:val="21"/>
                <w:szCs w:val="21"/>
                <w:lang w:bidi="ar"/>
              </w:rPr>
              <w:t>内资企业</w:t>
            </w:r>
          </w:p>
        </w:tc>
        <w:tc>
          <w:tcPr>
            <w:tcW w:w="1612" w:type="pct"/>
            <w:tcBorders>
              <w:top w:val="nil"/>
              <w:left w:val="single" w:color="auto" w:sz="4" w:space="0"/>
              <w:bottom w:val="nil"/>
              <w:right w:val="single" w:color="auto" w:sz="4" w:space="0"/>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46435</w:t>
            </w:r>
          </w:p>
        </w:tc>
        <w:tc>
          <w:tcPr>
            <w:tcW w:w="1186" w:type="pct"/>
            <w:tcBorders>
              <w:top w:val="nil"/>
              <w:left w:val="single" w:color="auto" w:sz="4" w:space="0"/>
              <w:bottom w:val="nil"/>
              <w:right w:val="nil"/>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42.60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nil"/>
              <w:right w:val="single" w:color="auto" w:sz="4" w:space="0"/>
            </w:tcBorders>
            <w:vAlign w:val="center"/>
          </w:tcPr>
          <w:p>
            <w:pPr>
              <w:widowControl/>
              <w:spacing w:line="340" w:lineRule="exact"/>
              <w:ind w:right="57"/>
              <w:jc w:val="left"/>
              <w:rPr>
                <w:rFonts w:eastAsia="宋体"/>
                <w:bCs/>
                <w:color w:val="0C0C0C"/>
                <w:sz w:val="21"/>
                <w:szCs w:val="21"/>
              </w:rPr>
            </w:pPr>
            <w:r>
              <w:rPr>
                <w:rFonts w:eastAsia="宋体"/>
                <w:bCs/>
                <w:color w:val="0C0C0C"/>
                <w:kern w:val="0"/>
                <w:sz w:val="21"/>
                <w:szCs w:val="21"/>
                <w:lang w:val="en" w:bidi="ar"/>
              </w:rPr>
              <w:t>港澳台</w:t>
            </w:r>
            <w:r>
              <w:rPr>
                <w:rFonts w:eastAsia="宋体"/>
                <w:bCs/>
                <w:color w:val="0C0C0C"/>
                <w:kern w:val="0"/>
                <w:sz w:val="21"/>
                <w:szCs w:val="21"/>
                <w:lang w:bidi="ar"/>
              </w:rPr>
              <w:t>投资企业</w:t>
            </w:r>
          </w:p>
        </w:tc>
        <w:tc>
          <w:tcPr>
            <w:tcW w:w="1612" w:type="pct"/>
            <w:tcBorders>
              <w:top w:val="nil"/>
              <w:left w:val="single" w:color="auto" w:sz="4" w:space="0"/>
              <w:bottom w:val="nil"/>
              <w:right w:val="single" w:color="auto" w:sz="4" w:space="0"/>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186</w:t>
            </w:r>
          </w:p>
        </w:tc>
        <w:tc>
          <w:tcPr>
            <w:tcW w:w="1186" w:type="pct"/>
            <w:tcBorders>
              <w:top w:val="nil"/>
              <w:left w:val="single" w:color="auto" w:sz="4" w:space="0"/>
              <w:bottom w:val="nil"/>
              <w:right w:val="nil"/>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1.19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nil"/>
              <w:right w:val="single" w:color="auto" w:sz="4" w:space="0"/>
            </w:tcBorders>
            <w:vAlign w:val="center"/>
          </w:tcPr>
          <w:p>
            <w:pPr>
              <w:widowControl/>
              <w:spacing w:line="340" w:lineRule="exact"/>
              <w:ind w:right="57"/>
              <w:jc w:val="left"/>
              <w:rPr>
                <w:rFonts w:eastAsia="宋体"/>
                <w:bCs/>
                <w:color w:val="0C0C0C"/>
                <w:sz w:val="21"/>
                <w:szCs w:val="21"/>
              </w:rPr>
            </w:pPr>
            <w:r>
              <w:rPr>
                <w:rFonts w:eastAsia="宋体"/>
                <w:bCs/>
                <w:color w:val="0C0C0C"/>
                <w:kern w:val="0"/>
                <w:sz w:val="21"/>
                <w:szCs w:val="21"/>
                <w:lang w:bidi="ar"/>
              </w:rPr>
              <w:t>外商投资企业</w:t>
            </w:r>
          </w:p>
        </w:tc>
        <w:tc>
          <w:tcPr>
            <w:tcW w:w="1612" w:type="pct"/>
            <w:tcBorders>
              <w:top w:val="nil"/>
              <w:left w:val="single" w:color="auto" w:sz="4" w:space="0"/>
              <w:bottom w:val="nil"/>
              <w:right w:val="single" w:color="auto" w:sz="4" w:space="0"/>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276</w:t>
            </w:r>
          </w:p>
        </w:tc>
        <w:tc>
          <w:tcPr>
            <w:tcW w:w="1186" w:type="pct"/>
            <w:tcBorders>
              <w:top w:val="nil"/>
              <w:left w:val="single" w:color="auto" w:sz="4" w:space="0"/>
              <w:bottom w:val="nil"/>
              <w:right w:val="nil"/>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1.14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single" w:color="auto" w:sz="12" w:space="0"/>
              <w:right w:val="single" w:color="auto" w:sz="4" w:space="0"/>
            </w:tcBorders>
            <w:vAlign w:val="center"/>
          </w:tcPr>
          <w:p>
            <w:pPr>
              <w:widowControl/>
              <w:spacing w:line="340" w:lineRule="exact"/>
              <w:ind w:right="57"/>
              <w:jc w:val="left"/>
              <w:rPr>
                <w:rFonts w:eastAsia="宋体"/>
                <w:bCs/>
                <w:color w:val="0C0C0C"/>
                <w:kern w:val="0"/>
                <w:sz w:val="21"/>
                <w:szCs w:val="21"/>
                <w:lang w:bidi="ar"/>
              </w:rPr>
            </w:pPr>
            <w:r>
              <w:rPr>
                <w:rFonts w:eastAsia="宋体"/>
                <w:bCs/>
                <w:color w:val="0C0C0C"/>
                <w:kern w:val="0"/>
                <w:sz w:val="21"/>
                <w:szCs w:val="21"/>
                <w:lang w:bidi="ar"/>
              </w:rPr>
              <w:t>其他统计类别</w:t>
            </w:r>
          </w:p>
        </w:tc>
        <w:tc>
          <w:tcPr>
            <w:tcW w:w="1612" w:type="pct"/>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NA</w:t>
            </w:r>
          </w:p>
        </w:tc>
        <w:tc>
          <w:tcPr>
            <w:tcW w:w="1186" w:type="pct"/>
            <w:tcBorders>
              <w:top w:val="nil"/>
              <w:left w:val="single" w:color="auto" w:sz="4" w:space="0"/>
              <w:bottom w:val="single" w:color="auto" w:sz="12" w:space="0"/>
              <w:right w:val="nil"/>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NA</w:t>
            </w:r>
          </w:p>
        </w:tc>
      </w:tr>
    </w:tbl>
    <w:p>
      <w:pPr>
        <w:widowControl/>
        <w:adjustRightInd w:val="0"/>
        <w:snapToGrid w:val="0"/>
        <w:spacing w:line="520" w:lineRule="exact"/>
        <w:ind w:firstLine="640"/>
        <w:rPr>
          <w:rFonts w:eastAsia="楷体_GB2312"/>
          <w:color w:val="0C0C0C"/>
          <w:kern w:val="0"/>
          <w:szCs w:val="32"/>
          <w:lang w:bidi="ar"/>
        </w:rPr>
      </w:pPr>
      <w:r>
        <w:rPr>
          <w:rFonts w:eastAsia="楷体_GB2312"/>
          <w:color w:val="0C0C0C"/>
          <w:kern w:val="0"/>
          <w:szCs w:val="32"/>
          <w:lang w:bidi="ar"/>
        </w:rPr>
        <w:t>（二）主要经济指标</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rPr>
        <w:t>2023年末，信息传输、软件和信息技术服务业企业法人单位资产总计</w:t>
      </w:r>
      <w:r>
        <w:rPr>
          <w:rFonts w:eastAsia="仿宋_GB2312"/>
          <w:color w:val="0C0C0C"/>
          <w:szCs w:val="32"/>
        </w:rPr>
        <w:t>6096.00亿元，比2018年末增长52.5%；负债合计3171.73亿元，比2018年末增长37.7%。</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rPr>
        <w:t>2023年，信息传输、软件和信息技术服务业企业法人单位实现营业收入</w:t>
      </w:r>
      <w:r>
        <w:rPr>
          <w:rFonts w:eastAsia="仿宋_GB2312"/>
          <w:color w:val="0C0C0C"/>
          <w:szCs w:val="32"/>
        </w:rPr>
        <w:t>3656.21亿元，比2018年增长80.9%</w:t>
      </w:r>
      <w:r>
        <w:rPr>
          <w:rFonts w:eastAsia="仿宋_GB2312"/>
          <w:color w:val="0C0C0C"/>
          <w:spacing w:val="-6"/>
          <w:szCs w:val="32"/>
        </w:rPr>
        <w:t>（详见表4-12）。</w:t>
      </w:r>
    </w:p>
    <w:p>
      <w:pPr>
        <w:widowControl/>
        <w:adjustRightInd w:val="0"/>
        <w:snapToGrid w:val="0"/>
        <w:spacing w:line="520" w:lineRule="exact"/>
        <w:ind w:firstLine="616"/>
        <w:rPr>
          <w:rFonts w:eastAsia="仿宋_GB2312"/>
          <w:color w:val="0C0C0C"/>
          <w:spacing w:val="-6"/>
          <w:szCs w:val="32"/>
        </w:rPr>
      </w:pPr>
    </w:p>
    <w:p>
      <w:pPr>
        <w:widowControl/>
        <w:spacing w:line="400" w:lineRule="exact"/>
        <w:jc w:val="center"/>
        <w:rPr>
          <w:rFonts w:eastAsia="宋体"/>
          <w:b/>
          <w:color w:val="0C0C0C"/>
          <w:kern w:val="0"/>
          <w:sz w:val="24"/>
          <w:lang w:bidi="ar"/>
        </w:rPr>
      </w:pPr>
      <w:r>
        <w:rPr>
          <w:rFonts w:eastAsia="宋体"/>
          <w:b/>
          <w:color w:val="0C0C0C"/>
          <w:kern w:val="0"/>
          <w:sz w:val="24"/>
          <w:lang w:bidi="ar"/>
        </w:rPr>
        <w:t>表4-12　按行业大类分组的信息传输、软件和信息技术服务业</w:t>
      </w:r>
    </w:p>
    <w:p>
      <w:pPr>
        <w:widowControl/>
        <w:spacing w:line="400" w:lineRule="exact"/>
        <w:jc w:val="center"/>
        <w:rPr>
          <w:rFonts w:eastAsia="宋体"/>
          <w:b/>
          <w:color w:val="0C0C0C"/>
          <w:kern w:val="0"/>
          <w:sz w:val="24"/>
          <w:lang w:bidi="ar"/>
        </w:rPr>
      </w:pPr>
      <w:r>
        <w:rPr>
          <w:rFonts w:eastAsia="宋体"/>
          <w:b/>
          <w:color w:val="0C0C0C"/>
          <w:kern w:val="0"/>
          <w:sz w:val="24"/>
          <w:lang w:bidi="ar"/>
        </w:rPr>
        <w:t>企业法人单位主要经济指标</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63"/>
        <w:gridCol w:w="1592"/>
        <w:gridCol w:w="1592"/>
        <w:gridCol w:w="15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98" w:type="pct"/>
            <w:tcBorders>
              <w:top w:val="single" w:color="auto" w:sz="12" w:space="0"/>
              <w:left w:val="nil"/>
              <w:bottom w:val="single" w:color="auto" w:sz="4" w:space="0"/>
              <w:right w:val="single" w:color="auto" w:sz="4" w:space="0"/>
            </w:tcBorders>
            <w:vAlign w:val="center"/>
          </w:tcPr>
          <w:p>
            <w:pPr>
              <w:widowControl/>
              <w:spacing w:line="320" w:lineRule="exact"/>
              <w:ind w:left="57" w:right="57" w:firstLine="500"/>
              <w:jc w:val="center"/>
              <w:rPr>
                <w:rFonts w:eastAsia="宋体"/>
                <w:color w:val="0C0C0C"/>
                <w:sz w:val="21"/>
                <w:szCs w:val="21"/>
              </w:rPr>
            </w:pPr>
            <w:r>
              <w:rPr>
                <w:rFonts w:eastAsia="宋体"/>
                <w:color w:val="0C0C0C"/>
                <w:kern w:val="0"/>
                <w:sz w:val="21"/>
                <w:szCs w:val="21"/>
                <w:lang w:bidi="ar"/>
              </w:rPr>
              <w:t>　</w:t>
            </w:r>
          </w:p>
        </w:tc>
        <w:tc>
          <w:tcPr>
            <w:tcW w:w="900"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资产总计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900"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负债合计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901"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营业收入</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8" w:type="pct"/>
            <w:tcBorders>
              <w:top w:val="single" w:color="auto" w:sz="4" w:space="0"/>
              <w:left w:val="nil"/>
              <w:bottom w:val="nil"/>
              <w:right w:val="single" w:color="auto" w:sz="4" w:space="0"/>
            </w:tcBorders>
            <w:vAlign w:val="center"/>
          </w:tcPr>
          <w:p>
            <w:pPr>
              <w:widowControl/>
              <w:spacing w:line="320" w:lineRule="exact"/>
              <w:ind w:right="57"/>
              <w:jc w:val="center"/>
              <w:rPr>
                <w:rFonts w:eastAsia="宋体"/>
                <w:color w:val="0C0C0C"/>
                <w:sz w:val="21"/>
                <w:szCs w:val="21"/>
              </w:rPr>
            </w:pPr>
            <w:r>
              <w:rPr>
                <w:rFonts w:eastAsia="宋体"/>
                <w:b/>
                <w:color w:val="0C0C0C"/>
                <w:kern w:val="0"/>
                <w:sz w:val="21"/>
                <w:szCs w:val="21"/>
                <w:lang w:bidi="ar"/>
              </w:rPr>
              <w:t>合　计</w:t>
            </w:r>
          </w:p>
        </w:tc>
        <w:tc>
          <w:tcPr>
            <w:tcW w:w="900" w:type="pct"/>
            <w:tcBorders>
              <w:top w:val="single" w:color="auto" w:sz="4" w:space="0"/>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6096.00</w:t>
            </w:r>
          </w:p>
        </w:tc>
        <w:tc>
          <w:tcPr>
            <w:tcW w:w="900" w:type="pct"/>
            <w:tcBorders>
              <w:top w:val="single" w:color="auto" w:sz="4" w:space="0"/>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3171.73</w:t>
            </w:r>
          </w:p>
        </w:tc>
        <w:tc>
          <w:tcPr>
            <w:tcW w:w="901" w:type="pct"/>
            <w:tcBorders>
              <w:top w:val="single" w:color="auto" w:sz="4" w:space="0"/>
              <w:left w:val="single" w:color="auto" w:sz="4" w:space="0"/>
              <w:bottom w:val="nil"/>
              <w:right w:val="nil"/>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3656.21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8"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电信、广播电视和卫星传输服务</w:t>
            </w:r>
          </w:p>
        </w:tc>
        <w:tc>
          <w:tcPr>
            <w:tcW w:w="900" w:type="pct"/>
            <w:tcBorders>
              <w:top w:val="nil"/>
              <w:left w:val="single" w:color="auto" w:sz="4" w:space="0"/>
              <w:bottom w:val="nil"/>
              <w:right w:val="single" w:color="auto" w:sz="4" w:space="0"/>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1287.24</w:t>
            </w:r>
          </w:p>
        </w:tc>
        <w:tc>
          <w:tcPr>
            <w:tcW w:w="900" w:type="pct"/>
            <w:tcBorders>
              <w:top w:val="nil"/>
              <w:left w:val="single" w:color="auto" w:sz="4" w:space="0"/>
              <w:bottom w:val="nil"/>
              <w:right w:val="single" w:color="auto" w:sz="4" w:space="0"/>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484.71</w:t>
            </w:r>
          </w:p>
        </w:tc>
        <w:tc>
          <w:tcPr>
            <w:tcW w:w="901" w:type="pct"/>
            <w:tcBorders>
              <w:top w:val="nil"/>
              <w:left w:val="single" w:color="auto" w:sz="4" w:space="0"/>
              <w:bottom w:val="nil"/>
              <w:right w:val="nil"/>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559.87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8"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互联网和相关服务</w:t>
            </w:r>
          </w:p>
        </w:tc>
        <w:tc>
          <w:tcPr>
            <w:tcW w:w="900" w:type="pct"/>
            <w:tcBorders>
              <w:top w:val="nil"/>
              <w:left w:val="single" w:color="auto" w:sz="4" w:space="0"/>
              <w:bottom w:val="nil"/>
              <w:right w:val="single" w:color="auto" w:sz="4" w:space="0"/>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943.90</w:t>
            </w:r>
          </w:p>
        </w:tc>
        <w:tc>
          <w:tcPr>
            <w:tcW w:w="900" w:type="pct"/>
            <w:tcBorders>
              <w:top w:val="nil"/>
              <w:left w:val="single" w:color="auto" w:sz="4" w:space="0"/>
              <w:bottom w:val="nil"/>
              <w:right w:val="single" w:color="auto" w:sz="4" w:space="0"/>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533.87</w:t>
            </w:r>
          </w:p>
        </w:tc>
        <w:tc>
          <w:tcPr>
            <w:tcW w:w="901" w:type="pct"/>
            <w:tcBorders>
              <w:top w:val="nil"/>
              <w:left w:val="single" w:color="auto" w:sz="4" w:space="0"/>
              <w:bottom w:val="nil"/>
              <w:right w:val="nil"/>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762.26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8" w:type="pct"/>
            <w:tcBorders>
              <w:top w:val="nil"/>
              <w:left w:val="nil"/>
              <w:bottom w:val="single" w:color="auto" w:sz="12" w:space="0"/>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软件和信息技术服务业</w:t>
            </w:r>
          </w:p>
        </w:tc>
        <w:tc>
          <w:tcPr>
            <w:tcW w:w="900" w:type="pct"/>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3864.87</w:t>
            </w:r>
          </w:p>
        </w:tc>
        <w:tc>
          <w:tcPr>
            <w:tcW w:w="900" w:type="pct"/>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2153.15</w:t>
            </w:r>
          </w:p>
        </w:tc>
        <w:tc>
          <w:tcPr>
            <w:tcW w:w="901" w:type="pct"/>
            <w:tcBorders>
              <w:top w:val="nil"/>
              <w:left w:val="single" w:color="auto" w:sz="4" w:space="0"/>
              <w:bottom w:val="single" w:color="auto" w:sz="12" w:space="0"/>
              <w:right w:val="nil"/>
            </w:tcBorders>
          </w:tcPr>
          <w:p>
            <w:pPr>
              <w:widowControl/>
              <w:spacing w:line="340" w:lineRule="exact"/>
              <w:ind w:right="57"/>
              <w:jc w:val="right"/>
              <w:rPr>
                <w:rFonts w:eastAsia="宋体"/>
                <w:bCs/>
                <w:color w:val="0C0C0C"/>
                <w:kern w:val="0"/>
                <w:sz w:val="21"/>
                <w:szCs w:val="21"/>
                <w:lang w:bidi="ar"/>
              </w:rPr>
            </w:pPr>
            <w:r>
              <w:rPr>
                <w:rFonts w:eastAsia="宋体"/>
                <w:bCs/>
                <w:color w:val="0C0C0C"/>
                <w:kern w:val="0"/>
                <w:sz w:val="21"/>
                <w:szCs w:val="21"/>
                <w:lang w:bidi="ar"/>
              </w:rPr>
              <w:t>2334.08</w:t>
            </w:r>
          </w:p>
        </w:tc>
      </w:tr>
    </w:tbl>
    <w:p>
      <w:pPr>
        <w:widowControl/>
        <w:adjustRightInd w:val="0"/>
        <w:snapToGrid w:val="0"/>
        <w:spacing w:line="520" w:lineRule="exact"/>
        <w:ind w:firstLine="640"/>
        <w:rPr>
          <w:color w:val="0C0C0C"/>
          <w:szCs w:val="32"/>
        </w:rPr>
      </w:pPr>
      <w:r>
        <w:rPr>
          <w:rFonts w:eastAsia="黑体"/>
          <w:bCs/>
          <w:color w:val="0C0C0C"/>
          <w:kern w:val="0"/>
          <w:szCs w:val="32"/>
          <w:lang w:bidi="ar"/>
        </w:rPr>
        <w:t>五、金融业</w:t>
      </w:r>
    </w:p>
    <w:p>
      <w:pPr>
        <w:widowControl/>
        <w:adjustRightInd w:val="0"/>
        <w:snapToGrid w:val="0"/>
        <w:spacing w:line="520" w:lineRule="exact"/>
        <w:rPr>
          <w:rFonts w:eastAsia="楷体_GB2312"/>
          <w:color w:val="0C0C0C"/>
          <w:kern w:val="0"/>
          <w:szCs w:val="32"/>
          <w:lang w:bidi="ar"/>
        </w:rPr>
      </w:pPr>
      <w:r>
        <w:rPr>
          <w:color w:val="0C0C0C"/>
          <w:kern w:val="0"/>
          <w:szCs w:val="32"/>
          <w:lang w:bidi="ar"/>
        </w:rPr>
        <w:t>　　</w:t>
      </w:r>
      <w:r>
        <w:rPr>
          <w:rFonts w:eastAsia="楷体_GB2312"/>
          <w:color w:val="0C0C0C"/>
          <w:kern w:val="0"/>
          <w:szCs w:val="32"/>
          <w:lang w:bidi="ar"/>
        </w:rPr>
        <w:t>（一）企业法人单位数和从业人员</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lang w:val="en"/>
        </w:rPr>
        <w:t>2023</w:t>
      </w:r>
      <w:r>
        <w:rPr>
          <w:rFonts w:eastAsia="仿宋_GB2312"/>
          <w:color w:val="0C0C0C"/>
          <w:spacing w:val="-6"/>
          <w:szCs w:val="32"/>
        </w:rPr>
        <w:t>年末，全市共有金融业企业法人单位0.17万个，从业人员</w:t>
      </w:r>
      <w:r>
        <w:rPr>
          <w:rFonts w:eastAsia="仿宋_GB2312"/>
          <w:color w:val="0C0C0C"/>
          <w:szCs w:val="32"/>
        </w:rPr>
        <w:t>14.67</w:t>
      </w:r>
      <w:r>
        <w:rPr>
          <w:rFonts w:eastAsia="仿宋_GB2312"/>
          <w:color w:val="0C0C0C"/>
          <w:spacing w:val="-6"/>
          <w:szCs w:val="32"/>
        </w:rPr>
        <w:t>万人，分别比2018年末增长</w:t>
      </w:r>
      <w:r>
        <w:rPr>
          <w:rFonts w:eastAsia="仿宋_GB2312"/>
          <w:color w:val="0C0C0C"/>
          <w:szCs w:val="32"/>
        </w:rPr>
        <w:t>53.6</w:t>
      </w:r>
      <w:r>
        <w:rPr>
          <w:rFonts w:eastAsia="仿宋_GB2312"/>
          <w:color w:val="0C0C0C"/>
          <w:spacing w:val="-6"/>
          <w:szCs w:val="32"/>
        </w:rPr>
        <w:t>%和</w:t>
      </w:r>
      <w:r>
        <w:rPr>
          <w:rFonts w:eastAsia="仿宋_GB2312"/>
          <w:color w:val="0C0C0C"/>
          <w:szCs w:val="32"/>
        </w:rPr>
        <w:t>13.6</w:t>
      </w:r>
      <w:r>
        <w:rPr>
          <w:rFonts w:eastAsia="仿宋_GB2312"/>
          <w:color w:val="0C0C0C"/>
          <w:spacing w:val="-6"/>
          <w:szCs w:val="32"/>
        </w:rPr>
        <w:t>%（详见表4-13）。</w:t>
      </w:r>
    </w:p>
    <w:p>
      <w:pPr>
        <w:widowControl/>
        <w:adjustRightInd w:val="0"/>
        <w:snapToGrid w:val="0"/>
        <w:spacing w:line="520" w:lineRule="exact"/>
        <w:ind w:firstLine="616"/>
        <w:rPr>
          <w:rFonts w:eastAsia="仿宋_GB2312"/>
          <w:color w:val="0C0C0C"/>
        </w:rPr>
      </w:pPr>
    </w:p>
    <w:p>
      <w:pPr>
        <w:widowControl/>
        <w:spacing w:line="320" w:lineRule="exact"/>
        <w:jc w:val="center"/>
        <w:rPr>
          <w:rFonts w:eastAsia="宋体"/>
          <w:b/>
          <w:color w:val="0C0C0C"/>
          <w:kern w:val="0"/>
          <w:sz w:val="28"/>
          <w:szCs w:val="28"/>
          <w:lang w:bidi="ar"/>
        </w:rPr>
      </w:pPr>
      <w:r>
        <w:rPr>
          <w:rFonts w:eastAsia="宋体"/>
          <w:b/>
          <w:color w:val="0C0C0C"/>
          <w:kern w:val="0"/>
          <w:sz w:val="24"/>
          <w:lang w:bidi="ar"/>
        </w:rPr>
        <w:t>表4-13　按行业大类分组的金融业企业法人单位数和从业人员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59"/>
        <w:gridCol w:w="2592"/>
        <w:gridCol w:w="23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83" w:type="pct"/>
            <w:tcBorders>
              <w:top w:val="single" w:color="auto" w:sz="12" w:space="0"/>
              <w:left w:val="nil"/>
              <w:bottom w:val="single" w:color="auto" w:sz="4" w:space="0"/>
              <w:right w:val="single" w:color="auto" w:sz="4" w:space="0"/>
            </w:tcBorders>
            <w:vAlign w:val="center"/>
          </w:tcPr>
          <w:p>
            <w:pPr>
              <w:widowControl/>
              <w:spacing w:line="320" w:lineRule="exact"/>
              <w:jc w:val="left"/>
              <w:rPr>
                <w:rFonts w:eastAsia="宋体"/>
                <w:color w:val="0C0C0C"/>
                <w:sz w:val="21"/>
                <w:szCs w:val="21"/>
              </w:rPr>
            </w:pPr>
            <w:r>
              <w:rPr>
                <w:rFonts w:eastAsia="宋体"/>
                <w:color w:val="0C0C0C"/>
                <w:kern w:val="0"/>
                <w:sz w:val="21"/>
                <w:szCs w:val="21"/>
                <w:lang w:bidi="ar"/>
              </w:rPr>
              <w:t>　</w:t>
            </w:r>
          </w:p>
        </w:tc>
        <w:tc>
          <w:tcPr>
            <w:tcW w:w="1466"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企业法人单位（个）</w:t>
            </w:r>
          </w:p>
        </w:tc>
        <w:tc>
          <w:tcPr>
            <w:tcW w:w="1351"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从业人员（万人）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single" w:color="auto" w:sz="4" w:space="0"/>
              <w:left w:val="nil"/>
              <w:bottom w:val="nil"/>
              <w:right w:val="single" w:color="auto" w:sz="4" w:space="0"/>
            </w:tcBorders>
            <w:vAlign w:val="center"/>
          </w:tcPr>
          <w:p>
            <w:pPr>
              <w:widowControl/>
              <w:spacing w:line="320" w:lineRule="exact"/>
              <w:ind w:right="57"/>
              <w:jc w:val="center"/>
              <w:rPr>
                <w:rFonts w:eastAsia="宋体"/>
                <w:color w:val="0C0C0C"/>
                <w:sz w:val="21"/>
                <w:szCs w:val="21"/>
              </w:rPr>
            </w:pPr>
            <w:r>
              <w:rPr>
                <w:rFonts w:eastAsia="宋体"/>
                <w:b/>
                <w:color w:val="0C0C0C"/>
                <w:kern w:val="0"/>
                <w:sz w:val="21"/>
                <w:szCs w:val="21"/>
                <w:lang w:bidi="ar"/>
              </w:rPr>
              <w:t>合　计</w:t>
            </w:r>
          </w:p>
        </w:tc>
        <w:tc>
          <w:tcPr>
            <w:tcW w:w="1466" w:type="pct"/>
            <w:tcBorders>
              <w:top w:val="single" w:color="auto" w:sz="4" w:space="0"/>
              <w:left w:val="single" w:color="auto" w:sz="4" w:space="0"/>
              <w:bottom w:val="nil"/>
              <w:right w:val="single" w:color="auto" w:sz="4" w:space="0"/>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1702</w:t>
            </w:r>
          </w:p>
        </w:tc>
        <w:tc>
          <w:tcPr>
            <w:tcW w:w="1351" w:type="pct"/>
            <w:tcBorders>
              <w:top w:val="single" w:color="auto" w:sz="4" w:space="0"/>
              <w:left w:val="single" w:color="auto" w:sz="4" w:space="0"/>
              <w:bottom w:val="nil"/>
              <w:right w:val="nil"/>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14.67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货币金融服务</w:t>
            </w:r>
          </w:p>
        </w:tc>
        <w:tc>
          <w:tcPr>
            <w:tcW w:w="1466"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276</w:t>
            </w:r>
          </w:p>
        </w:tc>
        <w:tc>
          <w:tcPr>
            <w:tcW w:w="1351" w:type="pct"/>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5.79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资本市场服务</w:t>
            </w:r>
          </w:p>
        </w:tc>
        <w:tc>
          <w:tcPr>
            <w:tcW w:w="1466"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879</w:t>
            </w:r>
          </w:p>
        </w:tc>
        <w:tc>
          <w:tcPr>
            <w:tcW w:w="1351" w:type="pct"/>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2.10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保险业</w:t>
            </w:r>
          </w:p>
        </w:tc>
        <w:tc>
          <w:tcPr>
            <w:tcW w:w="1466"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239</w:t>
            </w:r>
          </w:p>
        </w:tc>
        <w:tc>
          <w:tcPr>
            <w:tcW w:w="1351" w:type="pct"/>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6.29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single" w:color="auto" w:sz="12" w:space="0"/>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其他金融业</w:t>
            </w:r>
          </w:p>
        </w:tc>
        <w:tc>
          <w:tcPr>
            <w:tcW w:w="1466" w:type="pct"/>
            <w:tcBorders>
              <w:top w:val="nil"/>
              <w:left w:val="single" w:color="auto" w:sz="4" w:space="0"/>
              <w:bottom w:val="single" w:color="auto" w:sz="12" w:space="0"/>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308</w:t>
            </w:r>
          </w:p>
        </w:tc>
        <w:tc>
          <w:tcPr>
            <w:tcW w:w="1351" w:type="pct"/>
            <w:tcBorders>
              <w:top w:val="nil"/>
              <w:left w:val="single" w:color="auto" w:sz="4" w:space="0"/>
              <w:bottom w:val="single" w:color="auto" w:sz="12" w:space="0"/>
              <w:right w:val="nil"/>
            </w:tcBorders>
          </w:tcPr>
          <w:p>
            <w:pPr>
              <w:widowControl/>
              <w:spacing w:line="320" w:lineRule="exact"/>
              <w:ind w:right="57"/>
              <w:jc w:val="right"/>
              <w:rPr>
                <w:rFonts w:eastAsia="宋体"/>
                <w:color w:val="0C0C0C"/>
                <w:sz w:val="21"/>
                <w:szCs w:val="21"/>
              </w:rPr>
            </w:pPr>
            <w:r>
              <w:rPr>
                <w:rFonts w:eastAsia="宋体"/>
                <w:color w:val="0C0C0C"/>
                <w:sz w:val="21"/>
                <w:szCs w:val="21"/>
              </w:rPr>
              <w:t>0.49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5000" w:type="pct"/>
            <w:gridSpan w:val="3"/>
            <w:tcBorders>
              <w:top w:val="single" w:color="auto" w:sz="12" w:space="0"/>
              <w:left w:val="nil"/>
              <w:bottom w:val="nil"/>
              <w:right w:val="nil"/>
            </w:tcBorders>
            <w:vAlign w:val="center"/>
          </w:tcPr>
          <w:p>
            <w:pPr>
              <w:widowControl/>
              <w:spacing w:line="340" w:lineRule="exact"/>
              <w:ind w:left="57" w:right="57"/>
              <w:jc w:val="left"/>
              <w:rPr>
                <w:rFonts w:eastAsia="仿宋_GB2312"/>
                <w:color w:val="0C0C0C"/>
                <w:sz w:val="24"/>
              </w:rPr>
            </w:pPr>
            <w:r>
              <w:rPr>
                <w:rFonts w:eastAsia="楷体"/>
                <w:color w:val="0C0C0C"/>
                <w:kern w:val="0"/>
                <w:sz w:val="21"/>
                <w:szCs w:val="21"/>
                <w:lang w:bidi="ar"/>
              </w:rPr>
              <w:t xml:space="preserve">    注：金融业企业法人单位包括中国人民银行、金融监管总局、中国证监会负责普查的单位和各级经济普查机构负责普查的单位。</w:t>
            </w:r>
          </w:p>
        </w:tc>
      </w:tr>
    </w:tbl>
    <w:p>
      <w:pPr>
        <w:adjustRightInd w:val="0"/>
        <w:snapToGrid w:val="0"/>
        <w:spacing w:line="520" w:lineRule="exact"/>
        <w:ind w:firstLine="640"/>
        <w:rPr>
          <w:rFonts w:eastAsia="楷体_GB2312"/>
          <w:color w:val="0C0C0C"/>
          <w:kern w:val="0"/>
          <w:szCs w:val="32"/>
          <w:lang w:bidi="ar"/>
        </w:rPr>
      </w:pPr>
      <w:r>
        <w:rPr>
          <w:rFonts w:eastAsia="楷体_GB2312"/>
          <w:color w:val="0C0C0C"/>
          <w:kern w:val="0"/>
          <w:szCs w:val="32"/>
          <w:lang w:bidi="ar"/>
        </w:rPr>
        <w:t>（二）主要经济指标</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rPr>
        <w:t>2023年末，金融业企业法人单位资产总计</w:t>
      </w:r>
      <w:r>
        <w:rPr>
          <w:rFonts w:eastAsia="仿宋_GB2312"/>
          <w:color w:val="0C0C0C"/>
          <w:szCs w:val="32"/>
        </w:rPr>
        <w:t>133629.50亿元，比2018年末增长83.2%</w:t>
      </w:r>
      <w:r>
        <w:rPr>
          <w:rFonts w:eastAsia="仿宋_GB2312"/>
          <w:color w:val="0C0C0C"/>
          <w:spacing w:val="-6"/>
          <w:szCs w:val="32"/>
        </w:rPr>
        <w:t>；负债合计</w:t>
      </w:r>
      <w:r>
        <w:rPr>
          <w:rFonts w:eastAsia="仿宋_GB2312"/>
          <w:color w:val="0C0C0C"/>
          <w:szCs w:val="32"/>
        </w:rPr>
        <w:t>119623.53</w:t>
      </w:r>
      <w:r>
        <w:rPr>
          <w:rFonts w:eastAsia="仿宋_GB2312"/>
          <w:color w:val="0C0C0C"/>
          <w:spacing w:val="-6"/>
          <w:szCs w:val="32"/>
        </w:rPr>
        <w:t>亿元，比2018年末增长</w:t>
      </w:r>
      <w:r>
        <w:rPr>
          <w:rFonts w:eastAsia="仿宋_GB2312"/>
          <w:color w:val="0C0C0C"/>
          <w:szCs w:val="32"/>
        </w:rPr>
        <w:t>87.0</w:t>
      </w:r>
      <w:r>
        <w:rPr>
          <w:rFonts w:eastAsia="仿宋_GB2312"/>
          <w:color w:val="0C0C0C"/>
          <w:spacing w:val="-6"/>
          <w:szCs w:val="32"/>
        </w:rPr>
        <w:t>%。</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rPr>
        <w:t>2023年，金融业企业法人单位实现营业收入</w:t>
      </w:r>
      <w:r>
        <w:rPr>
          <w:rFonts w:eastAsia="仿宋_GB2312"/>
          <w:color w:val="0C0C0C"/>
          <w:szCs w:val="32"/>
        </w:rPr>
        <w:t>3938.63亿元，比2018年增长45.2%</w:t>
      </w:r>
      <w:r>
        <w:rPr>
          <w:rFonts w:eastAsia="仿宋_GB2312"/>
          <w:color w:val="0C0C0C"/>
          <w:spacing w:val="-6"/>
          <w:szCs w:val="32"/>
        </w:rPr>
        <w:t>（详见表4-14）。</w:t>
      </w:r>
    </w:p>
    <w:p>
      <w:pPr>
        <w:widowControl/>
        <w:adjustRightInd w:val="0"/>
        <w:snapToGrid w:val="0"/>
        <w:spacing w:line="520" w:lineRule="exact"/>
        <w:ind w:firstLine="616"/>
        <w:rPr>
          <w:rFonts w:eastAsia="仿宋_GB2312"/>
          <w:color w:val="0C0C0C"/>
          <w:spacing w:val="-6"/>
          <w:szCs w:val="32"/>
        </w:rPr>
      </w:pPr>
    </w:p>
    <w:p>
      <w:pPr>
        <w:widowControl/>
        <w:spacing w:after="115" w:afterLines="20" w:line="400" w:lineRule="exact"/>
        <w:jc w:val="center"/>
        <w:rPr>
          <w:rFonts w:eastAsia="宋体"/>
          <w:b/>
          <w:color w:val="0C0C0C"/>
          <w:kern w:val="0"/>
          <w:sz w:val="28"/>
          <w:szCs w:val="28"/>
          <w:lang w:bidi="ar"/>
        </w:rPr>
      </w:pPr>
      <w:r>
        <w:rPr>
          <w:rFonts w:eastAsia="宋体"/>
          <w:b/>
          <w:color w:val="0C0C0C"/>
          <w:kern w:val="0"/>
          <w:sz w:val="24"/>
          <w:lang w:bidi="ar"/>
        </w:rPr>
        <w:t>表4-14　按行业大类分组的金融业企业法人单位主要经济指标</w:t>
      </w:r>
    </w:p>
    <w:tbl>
      <w:tblPr>
        <w:tblStyle w:val="1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6"/>
        <w:gridCol w:w="1633"/>
        <w:gridCol w:w="1633"/>
        <w:gridCol w:w="16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76" w:type="dxa"/>
            <w:tcBorders>
              <w:top w:val="single" w:color="auto" w:sz="12" w:space="0"/>
              <w:left w:val="nil"/>
              <w:bottom w:val="single" w:color="auto" w:sz="4" w:space="0"/>
              <w:right w:val="single" w:color="auto" w:sz="4" w:space="0"/>
            </w:tcBorders>
            <w:vAlign w:val="center"/>
          </w:tcPr>
          <w:p>
            <w:pPr>
              <w:widowControl/>
              <w:spacing w:line="320" w:lineRule="exact"/>
              <w:jc w:val="left"/>
              <w:rPr>
                <w:rFonts w:eastAsia="宋体"/>
                <w:color w:val="0C0C0C"/>
                <w:sz w:val="21"/>
                <w:szCs w:val="21"/>
              </w:rPr>
            </w:pPr>
            <w:r>
              <w:rPr>
                <w:rFonts w:eastAsia="宋体"/>
                <w:color w:val="0C0C0C"/>
                <w:kern w:val="0"/>
                <w:sz w:val="21"/>
                <w:szCs w:val="21"/>
                <w:lang w:bidi="ar"/>
              </w:rPr>
              <w:t>　</w:t>
            </w:r>
          </w:p>
        </w:tc>
        <w:tc>
          <w:tcPr>
            <w:tcW w:w="1633" w:type="dxa"/>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资产总计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1633" w:type="dxa"/>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负债合计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1632" w:type="dxa"/>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营业收入</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single" w:color="auto" w:sz="4" w:space="0"/>
              <w:left w:val="nil"/>
              <w:bottom w:val="nil"/>
              <w:right w:val="single" w:color="auto" w:sz="4" w:space="0"/>
            </w:tcBorders>
            <w:vAlign w:val="center"/>
          </w:tcPr>
          <w:p>
            <w:pPr>
              <w:widowControl/>
              <w:spacing w:line="320" w:lineRule="exact"/>
              <w:ind w:right="57"/>
              <w:jc w:val="center"/>
              <w:rPr>
                <w:rFonts w:eastAsia="宋体"/>
                <w:color w:val="0C0C0C"/>
                <w:sz w:val="21"/>
                <w:szCs w:val="21"/>
              </w:rPr>
            </w:pPr>
            <w:r>
              <w:rPr>
                <w:rFonts w:eastAsia="宋体"/>
                <w:b/>
                <w:color w:val="0C0C0C"/>
                <w:kern w:val="0"/>
                <w:sz w:val="21"/>
                <w:szCs w:val="21"/>
                <w:lang w:bidi="ar"/>
              </w:rPr>
              <w:t>合　计</w:t>
            </w:r>
          </w:p>
        </w:tc>
        <w:tc>
          <w:tcPr>
            <w:tcW w:w="1633" w:type="dxa"/>
            <w:tcBorders>
              <w:top w:val="single" w:color="auto" w:sz="4" w:space="0"/>
              <w:left w:val="single" w:color="auto" w:sz="4" w:space="0"/>
              <w:bottom w:val="nil"/>
              <w:right w:val="single" w:color="auto" w:sz="4" w:space="0"/>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133629.50</w:t>
            </w:r>
          </w:p>
        </w:tc>
        <w:tc>
          <w:tcPr>
            <w:tcW w:w="1633" w:type="dxa"/>
            <w:tcBorders>
              <w:top w:val="single" w:color="auto" w:sz="4" w:space="0"/>
              <w:left w:val="single" w:color="auto" w:sz="4" w:space="0"/>
              <w:bottom w:val="nil"/>
              <w:right w:val="single" w:color="auto" w:sz="4" w:space="0"/>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119623.53</w:t>
            </w:r>
          </w:p>
        </w:tc>
        <w:tc>
          <w:tcPr>
            <w:tcW w:w="1632" w:type="dxa"/>
            <w:tcBorders>
              <w:top w:val="single" w:color="auto" w:sz="4" w:space="0"/>
              <w:left w:val="single" w:color="auto" w:sz="4" w:space="0"/>
              <w:bottom w:val="nil"/>
              <w:right w:val="nil"/>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3938.63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货币金融服务</w:t>
            </w:r>
          </w:p>
        </w:tc>
        <w:tc>
          <w:tcPr>
            <w:tcW w:w="163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115666.15</w:t>
            </w:r>
          </w:p>
        </w:tc>
        <w:tc>
          <w:tcPr>
            <w:tcW w:w="163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106554.33</w:t>
            </w:r>
          </w:p>
        </w:tc>
        <w:tc>
          <w:tcPr>
            <w:tcW w:w="1632" w:type="dxa"/>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2137.55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资本市场服务</w:t>
            </w:r>
          </w:p>
        </w:tc>
        <w:tc>
          <w:tcPr>
            <w:tcW w:w="163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9915.66</w:t>
            </w:r>
          </w:p>
        </w:tc>
        <w:tc>
          <w:tcPr>
            <w:tcW w:w="163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6481.05</w:t>
            </w:r>
          </w:p>
        </w:tc>
        <w:tc>
          <w:tcPr>
            <w:tcW w:w="1632" w:type="dxa"/>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311.93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保险业</w:t>
            </w:r>
          </w:p>
        </w:tc>
        <w:tc>
          <w:tcPr>
            <w:tcW w:w="163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3850.24</w:t>
            </w:r>
          </w:p>
        </w:tc>
        <w:tc>
          <w:tcPr>
            <w:tcW w:w="163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4760.45</w:t>
            </w:r>
          </w:p>
        </w:tc>
        <w:tc>
          <w:tcPr>
            <w:tcW w:w="1632" w:type="dxa"/>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1144.29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5" w:hRule="atLeast"/>
          <w:jc w:val="center"/>
        </w:trPr>
        <w:tc>
          <w:tcPr>
            <w:tcW w:w="3776" w:type="dxa"/>
            <w:tcBorders>
              <w:top w:val="nil"/>
              <w:left w:val="nil"/>
              <w:bottom w:val="single" w:color="auto" w:sz="12" w:space="0"/>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其他金融业</w:t>
            </w:r>
          </w:p>
        </w:tc>
        <w:tc>
          <w:tcPr>
            <w:tcW w:w="1633" w:type="dxa"/>
            <w:tcBorders>
              <w:top w:val="nil"/>
              <w:left w:val="single" w:color="auto" w:sz="4" w:space="0"/>
              <w:bottom w:val="single" w:color="auto" w:sz="12" w:space="0"/>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4197.46</w:t>
            </w:r>
          </w:p>
        </w:tc>
        <w:tc>
          <w:tcPr>
            <w:tcW w:w="1633" w:type="dxa"/>
            <w:tcBorders>
              <w:top w:val="nil"/>
              <w:left w:val="single" w:color="auto" w:sz="4" w:space="0"/>
              <w:bottom w:val="single" w:color="auto" w:sz="12" w:space="0"/>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1827.70</w:t>
            </w:r>
          </w:p>
        </w:tc>
        <w:tc>
          <w:tcPr>
            <w:tcW w:w="1632" w:type="dxa"/>
            <w:tcBorders>
              <w:top w:val="nil"/>
              <w:left w:val="single" w:color="auto" w:sz="4" w:space="0"/>
              <w:bottom w:val="single" w:color="auto" w:sz="12" w:space="0"/>
              <w:right w:val="nil"/>
            </w:tcBorders>
          </w:tcPr>
          <w:p>
            <w:pPr>
              <w:widowControl/>
              <w:spacing w:line="320" w:lineRule="exact"/>
              <w:ind w:right="57"/>
              <w:jc w:val="right"/>
              <w:rPr>
                <w:rFonts w:eastAsia="宋体"/>
                <w:color w:val="0C0C0C"/>
                <w:sz w:val="21"/>
                <w:szCs w:val="21"/>
              </w:rPr>
            </w:pPr>
            <w:r>
              <w:rPr>
                <w:rFonts w:eastAsia="宋体"/>
                <w:color w:val="0C0C0C"/>
                <w:sz w:val="21"/>
                <w:szCs w:val="21"/>
              </w:rPr>
              <w:t>344.86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674" w:type="dxa"/>
            <w:gridSpan w:val="4"/>
            <w:tcBorders>
              <w:top w:val="single" w:color="auto" w:sz="12" w:space="0"/>
              <w:left w:val="nil"/>
              <w:bottom w:val="nil"/>
              <w:right w:val="nil"/>
            </w:tcBorders>
            <w:vAlign w:val="center"/>
          </w:tcPr>
          <w:p>
            <w:pPr>
              <w:widowControl/>
              <w:spacing w:line="320" w:lineRule="exact"/>
              <w:ind w:left="57" w:right="57"/>
              <w:jc w:val="left"/>
              <w:rPr>
                <w:rFonts w:eastAsia="仿宋_GB2312"/>
                <w:color w:val="0C0C0C"/>
                <w:szCs w:val="32"/>
              </w:rPr>
            </w:pPr>
            <w:r>
              <w:rPr>
                <w:rFonts w:eastAsia="楷体"/>
                <w:color w:val="0C0C0C"/>
                <w:kern w:val="0"/>
                <w:sz w:val="21"/>
                <w:szCs w:val="21"/>
                <w:lang w:bidi="ar"/>
              </w:rPr>
              <w:t xml:space="preserve">    注：金融业企业法人单位包括中国人民银行、金融监管总局、中国证监会负责普查的单位和各级经济普查机构负责普查的单位。</w:t>
            </w:r>
          </w:p>
        </w:tc>
      </w:tr>
    </w:tbl>
    <w:p>
      <w:pPr>
        <w:widowControl/>
        <w:adjustRightInd w:val="0"/>
        <w:snapToGrid w:val="0"/>
        <w:spacing w:line="520" w:lineRule="exact"/>
        <w:ind w:firstLine="640"/>
        <w:rPr>
          <w:color w:val="0C0C0C"/>
          <w:szCs w:val="32"/>
        </w:rPr>
      </w:pPr>
      <w:r>
        <w:rPr>
          <w:rFonts w:eastAsia="黑体"/>
          <w:bCs/>
          <w:color w:val="0C0C0C"/>
          <w:kern w:val="0"/>
          <w:szCs w:val="32"/>
          <w:lang w:bidi="ar"/>
        </w:rPr>
        <w:t>六、房地产业</w:t>
      </w:r>
    </w:p>
    <w:p>
      <w:pPr>
        <w:widowControl/>
        <w:adjustRightInd w:val="0"/>
        <w:snapToGrid w:val="0"/>
        <w:spacing w:line="520" w:lineRule="exact"/>
        <w:rPr>
          <w:rFonts w:eastAsia="楷体_GB2312"/>
          <w:color w:val="0C0C0C"/>
          <w:kern w:val="0"/>
          <w:szCs w:val="32"/>
          <w:lang w:bidi="ar"/>
        </w:rPr>
      </w:pPr>
      <w:r>
        <w:rPr>
          <w:color w:val="0C0C0C"/>
          <w:kern w:val="0"/>
          <w:szCs w:val="32"/>
          <w:lang w:bidi="ar"/>
        </w:rPr>
        <w:t>　　</w:t>
      </w:r>
      <w:r>
        <w:rPr>
          <w:rFonts w:eastAsia="楷体_GB2312"/>
          <w:color w:val="0C0C0C"/>
          <w:kern w:val="0"/>
          <w:szCs w:val="32"/>
          <w:lang w:bidi="ar"/>
        </w:rPr>
        <w:t>（一）企业法人单位数和从业人员</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rPr>
        <w:t>2023年末，全市共有房地产业企业法人单位</w:t>
      </w:r>
      <w:r>
        <w:rPr>
          <w:rFonts w:eastAsia="仿宋_GB2312"/>
          <w:color w:val="0C0C0C"/>
          <w:szCs w:val="32"/>
        </w:rPr>
        <w:t>1.22万</w:t>
      </w:r>
      <w:r>
        <w:rPr>
          <w:rFonts w:eastAsia="仿宋_GB2312"/>
          <w:color w:val="0C0C0C"/>
          <w:spacing w:val="-6"/>
          <w:szCs w:val="32"/>
        </w:rPr>
        <w:t>个，比2018年末增长</w:t>
      </w:r>
      <w:r>
        <w:rPr>
          <w:rFonts w:eastAsia="仿宋_GB2312"/>
          <w:color w:val="0C0C0C"/>
          <w:szCs w:val="32"/>
        </w:rPr>
        <w:t>86.0</w:t>
      </w:r>
      <w:r>
        <w:rPr>
          <w:rFonts w:eastAsia="仿宋_GB2312"/>
          <w:color w:val="0C0C0C"/>
          <w:spacing w:val="-6"/>
          <w:szCs w:val="32"/>
        </w:rPr>
        <w:t>%。其中，房地产开发经营企业</w:t>
      </w:r>
      <w:r>
        <w:rPr>
          <w:rFonts w:eastAsia="仿宋_GB2312"/>
          <w:color w:val="0C0C0C"/>
          <w:szCs w:val="32"/>
        </w:rPr>
        <w:t>0.16万</w:t>
      </w:r>
      <w:r>
        <w:rPr>
          <w:rFonts w:eastAsia="仿宋_GB2312"/>
          <w:color w:val="0C0C0C"/>
          <w:spacing w:val="-6"/>
          <w:szCs w:val="32"/>
        </w:rPr>
        <w:t>个，物业管理企业</w:t>
      </w:r>
      <w:r>
        <w:rPr>
          <w:rFonts w:eastAsia="仿宋_GB2312"/>
          <w:color w:val="0C0C0C"/>
          <w:szCs w:val="32"/>
        </w:rPr>
        <w:t>0.41万</w:t>
      </w:r>
      <w:r>
        <w:rPr>
          <w:rFonts w:eastAsia="仿宋_GB2312"/>
          <w:color w:val="0C0C0C"/>
          <w:spacing w:val="-6"/>
          <w:szCs w:val="32"/>
        </w:rPr>
        <w:t>个，房地产中介服务企业</w:t>
      </w:r>
      <w:r>
        <w:rPr>
          <w:rFonts w:eastAsia="仿宋_GB2312"/>
          <w:color w:val="0C0C0C"/>
          <w:szCs w:val="32"/>
        </w:rPr>
        <w:t>0.47万</w:t>
      </w:r>
      <w:r>
        <w:rPr>
          <w:rFonts w:eastAsia="仿宋_GB2312"/>
          <w:color w:val="0C0C0C"/>
          <w:spacing w:val="-6"/>
          <w:szCs w:val="32"/>
        </w:rPr>
        <w:t>个，分别比2018年末增长</w:t>
      </w:r>
      <w:r>
        <w:rPr>
          <w:rFonts w:eastAsia="仿宋_GB2312"/>
          <w:color w:val="0C0C0C"/>
          <w:szCs w:val="32"/>
        </w:rPr>
        <w:t>45.3</w:t>
      </w:r>
      <w:r>
        <w:rPr>
          <w:rFonts w:eastAsia="仿宋_GB2312"/>
          <w:color w:val="0C0C0C"/>
          <w:spacing w:val="-6"/>
          <w:szCs w:val="32"/>
        </w:rPr>
        <w:t>%、</w:t>
      </w:r>
      <w:r>
        <w:rPr>
          <w:rFonts w:eastAsia="仿宋_GB2312"/>
          <w:color w:val="0C0C0C"/>
          <w:szCs w:val="32"/>
        </w:rPr>
        <w:t>109.7</w:t>
      </w:r>
      <w:r>
        <w:rPr>
          <w:rFonts w:eastAsia="仿宋_GB2312"/>
          <w:color w:val="0C0C0C"/>
          <w:spacing w:val="-6"/>
          <w:szCs w:val="32"/>
        </w:rPr>
        <w:t>%和</w:t>
      </w:r>
      <w:r>
        <w:rPr>
          <w:rFonts w:eastAsia="仿宋_GB2312"/>
          <w:color w:val="0C0C0C"/>
          <w:szCs w:val="32"/>
        </w:rPr>
        <w:t>83.5</w:t>
      </w:r>
      <w:r>
        <w:rPr>
          <w:rFonts w:eastAsia="仿宋_GB2312"/>
          <w:color w:val="0C0C0C"/>
          <w:spacing w:val="-6"/>
          <w:szCs w:val="32"/>
        </w:rPr>
        <w:t>%。</w:t>
      </w:r>
    </w:p>
    <w:p>
      <w:pPr>
        <w:widowControl/>
        <w:adjustRightInd w:val="0"/>
        <w:snapToGrid w:val="0"/>
        <w:spacing w:line="520" w:lineRule="exact"/>
        <w:ind w:firstLine="616"/>
        <w:rPr>
          <w:rFonts w:eastAsia="仿宋_GB2312"/>
        </w:rPr>
      </w:pPr>
      <w:r>
        <w:rPr>
          <w:rFonts w:eastAsia="仿宋_GB2312"/>
          <w:color w:val="0C0C0C"/>
          <w:spacing w:val="-6"/>
          <w:szCs w:val="32"/>
        </w:rPr>
        <w:t>2023年末，全市房地产业企业法人单位从业人员</w:t>
      </w:r>
      <w:r>
        <w:rPr>
          <w:rFonts w:eastAsia="仿宋_GB2312"/>
          <w:color w:val="0C0C0C"/>
          <w:szCs w:val="32"/>
        </w:rPr>
        <w:t>21.87</w:t>
      </w:r>
      <w:r>
        <w:rPr>
          <w:rFonts w:eastAsia="仿宋_GB2312"/>
          <w:color w:val="0C0C0C"/>
          <w:spacing w:val="-6"/>
          <w:szCs w:val="32"/>
        </w:rPr>
        <w:t>万人，比2018年末增长</w:t>
      </w:r>
      <w:r>
        <w:rPr>
          <w:rFonts w:eastAsia="仿宋_GB2312"/>
          <w:color w:val="0C0C0C"/>
          <w:szCs w:val="32"/>
        </w:rPr>
        <w:t>16.4</w:t>
      </w:r>
      <w:r>
        <w:rPr>
          <w:rFonts w:eastAsia="仿宋_GB2312"/>
          <w:color w:val="0C0C0C"/>
          <w:spacing w:val="-6"/>
          <w:szCs w:val="32"/>
        </w:rPr>
        <w:t>%。其中，房地产开发经营企业</w:t>
      </w:r>
      <w:r>
        <w:rPr>
          <w:rFonts w:eastAsia="仿宋_GB2312"/>
          <w:color w:val="0C0C0C"/>
          <w:szCs w:val="32"/>
        </w:rPr>
        <w:t>2.26</w:t>
      </w:r>
      <w:r>
        <w:rPr>
          <w:rFonts w:eastAsia="仿宋_GB2312"/>
          <w:color w:val="0C0C0C"/>
          <w:spacing w:val="-6"/>
          <w:szCs w:val="32"/>
        </w:rPr>
        <w:t>万人,比2018年末下降</w:t>
      </w:r>
      <w:r>
        <w:rPr>
          <w:rFonts w:eastAsia="仿宋_GB2312"/>
          <w:color w:val="0C0C0C"/>
          <w:szCs w:val="32"/>
        </w:rPr>
        <w:t>20.8</w:t>
      </w:r>
      <w:r>
        <w:rPr>
          <w:rFonts w:eastAsia="仿宋_GB2312"/>
          <w:color w:val="0C0C0C"/>
          <w:spacing w:val="-6"/>
          <w:szCs w:val="32"/>
        </w:rPr>
        <w:t>%；物业管理企业</w:t>
      </w:r>
      <w:r>
        <w:rPr>
          <w:rFonts w:eastAsia="仿宋_GB2312"/>
          <w:color w:val="0C0C0C"/>
          <w:szCs w:val="32"/>
        </w:rPr>
        <w:t>14.90</w:t>
      </w:r>
      <w:r>
        <w:rPr>
          <w:rFonts w:eastAsia="仿宋_GB2312"/>
          <w:color w:val="0C0C0C"/>
          <w:spacing w:val="-6"/>
          <w:szCs w:val="32"/>
        </w:rPr>
        <w:t>万人，比2018年末增长26.0%；房地产中介服务企业</w:t>
      </w:r>
      <w:r>
        <w:rPr>
          <w:rFonts w:eastAsia="仿宋_GB2312"/>
          <w:color w:val="0C0C0C"/>
          <w:szCs w:val="32"/>
        </w:rPr>
        <w:t>2.99</w:t>
      </w:r>
      <w:r>
        <w:rPr>
          <w:rFonts w:eastAsia="仿宋_GB2312"/>
          <w:color w:val="0C0C0C"/>
          <w:spacing w:val="-6"/>
          <w:szCs w:val="32"/>
        </w:rPr>
        <w:t>万人，比2018年末下降0.3%（详见表4-15）。</w:t>
      </w:r>
    </w:p>
    <w:p>
      <w:pPr>
        <w:widowControl/>
        <w:spacing w:after="57" w:afterLines="10" w:line="320" w:lineRule="exact"/>
        <w:jc w:val="center"/>
        <w:rPr>
          <w:rFonts w:eastAsia="宋体"/>
          <w:b/>
          <w:color w:val="0C0C0C"/>
          <w:kern w:val="0"/>
          <w:sz w:val="24"/>
          <w:lang w:bidi="ar"/>
        </w:rPr>
      </w:pPr>
      <w:r>
        <w:rPr>
          <w:rFonts w:eastAsia="宋体"/>
          <w:b/>
          <w:color w:val="0C0C0C"/>
          <w:kern w:val="0"/>
          <w:sz w:val="24"/>
          <w:lang w:bidi="ar"/>
        </w:rPr>
        <w:t>表4-15　按行业中类分组的房地产业企业法人单位数和从业人员</w:t>
      </w:r>
    </w:p>
    <w:tbl>
      <w:tblPr>
        <w:tblStyle w:val="19"/>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56"/>
        <w:gridCol w:w="2858"/>
        <w:gridCol w:w="273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41" w:type="pct"/>
            <w:tcBorders>
              <w:top w:val="single" w:color="auto" w:sz="12" w:space="0"/>
              <w:left w:val="nil"/>
              <w:bottom w:val="single" w:color="auto" w:sz="4" w:space="0"/>
              <w:right w:val="single" w:color="auto" w:sz="4" w:space="0"/>
            </w:tcBorders>
            <w:vAlign w:val="center"/>
          </w:tcPr>
          <w:p>
            <w:pPr>
              <w:widowControl/>
              <w:spacing w:line="320" w:lineRule="exact"/>
              <w:ind w:left="57" w:right="57"/>
              <w:jc w:val="center"/>
              <w:rPr>
                <w:rFonts w:eastAsia="宋体"/>
                <w:color w:val="0C0C0C"/>
                <w:sz w:val="21"/>
                <w:szCs w:val="21"/>
              </w:rPr>
            </w:pPr>
          </w:p>
        </w:tc>
        <w:tc>
          <w:tcPr>
            <w:tcW w:w="1616"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企业法人单位</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1543"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从业人员</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1" w:type="pct"/>
            <w:tcBorders>
              <w:top w:val="single" w:color="auto" w:sz="4" w:space="0"/>
              <w:left w:val="nil"/>
              <w:bottom w:val="nil"/>
              <w:right w:val="single" w:color="auto" w:sz="4" w:space="0"/>
            </w:tcBorders>
            <w:vAlign w:val="center"/>
          </w:tcPr>
          <w:p>
            <w:pPr>
              <w:widowControl/>
              <w:spacing w:line="320" w:lineRule="exact"/>
              <w:ind w:right="57"/>
              <w:jc w:val="center"/>
              <w:rPr>
                <w:rFonts w:eastAsia="宋体"/>
                <w:color w:val="0C0C0C"/>
                <w:sz w:val="21"/>
                <w:szCs w:val="21"/>
              </w:rPr>
            </w:pPr>
            <w:r>
              <w:rPr>
                <w:rFonts w:eastAsia="宋体"/>
                <w:b/>
                <w:color w:val="0C0C0C"/>
                <w:kern w:val="0"/>
                <w:sz w:val="21"/>
                <w:szCs w:val="21"/>
                <w:lang w:bidi="ar"/>
              </w:rPr>
              <w:t>合　计</w:t>
            </w:r>
          </w:p>
        </w:tc>
        <w:tc>
          <w:tcPr>
            <w:tcW w:w="1616" w:type="pct"/>
            <w:tcBorders>
              <w:top w:val="single" w:color="auto" w:sz="4" w:space="0"/>
              <w:left w:val="single" w:color="auto" w:sz="4" w:space="0"/>
              <w:bottom w:val="nil"/>
              <w:right w:val="single" w:color="auto" w:sz="4" w:space="0"/>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12167</w:t>
            </w:r>
          </w:p>
        </w:tc>
        <w:tc>
          <w:tcPr>
            <w:tcW w:w="1543" w:type="pct"/>
            <w:tcBorders>
              <w:top w:val="single" w:color="auto" w:sz="4" w:space="0"/>
              <w:left w:val="single" w:color="auto" w:sz="4" w:space="0"/>
              <w:bottom w:val="nil"/>
              <w:right w:val="nil"/>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21.87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1"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房地产开发经营</w:t>
            </w:r>
          </w:p>
        </w:tc>
        <w:tc>
          <w:tcPr>
            <w:tcW w:w="1616"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1646</w:t>
            </w:r>
          </w:p>
        </w:tc>
        <w:tc>
          <w:tcPr>
            <w:tcW w:w="1543" w:type="pct"/>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2.26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1"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物业管理</w:t>
            </w:r>
          </w:p>
        </w:tc>
        <w:tc>
          <w:tcPr>
            <w:tcW w:w="1616"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4076</w:t>
            </w:r>
          </w:p>
        </w:tc>
        <w:tc>
          <w:tcPr>
            <w:tcW w:w="1543" w:type="pct"/>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14.90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1"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房地产中介服务</w:t>
            </w:r>
          </w:p>
        </w:tc>
        <w:tc>
          <w:tcPr>
            <w:tcW w:w="1616"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4726</w:t>
            </w:r>
          </w:p>
        </w:tc>
        <w:tc>
          <w:tcPr>
            <w:tcW w:w="1543" w:type="pct"/>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2.99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1" w:type="pct"/>
            <w:tcBorders>
              <w:top w:val="nil"/>
              <w:left w:val="nil"/>
              <w:bottom w:val="nil"/>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房地产租赁经营</w:t>
            </w:r>
          </w:p>
        </w:tc>
        <w:tc>
          <w:tcPr>
            <w:tcW w:w="1616"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1557</w:t>
            </w:r>
          </w:p>
        </w:tc>
        <w:tc>
          <w:tcPr>
            <w:tcW w:w="1543" w:type="pct"/>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1.62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1" w:type="pct"/>
            <w:tcBorders>
              <w:top w:val="nil"/>
              <w:left w:val="nil"/>
              <w:bottom w:val="single" w:color="auto" w:sz="12" w:space="0"/>
              <w:right w:val="single" w:color="auto" w:sz="4" w:space="0"/>
            </w:tcBorders>
            <w:vAlign w:val="center"/>
          </w:tcPr>
          <w:p>
            <w:pPr>
              <w:widowControl/>
              <w:spacing w:line="320" w:lineRule="exact"/>
              <w:ind w:right="57"/>
              <w:jc w:val="left"/>
              <w:rPr>
                <w:rFonts w:eastAsia="宋体"/>
                <w:color w:val="0C0C0C"/>
                <w:sz w:val="21"/>
                <w:szCs w:val="21"/>
              </w:rPr>
            </w:pPr>
            <w:r>
              <w:rPr>
                <w:rFonts w:eastAsia="宋体"/>
                <w:color w:val="0C0C0C"/>
                <w:kern w:val="0"/>
                <w:sz w:val="21"/>
                <w:szCs w:val="21"/>
                <w:lang w:bidi="ar"/>
              </w:rPr>
              <w:t>其他房地产业</w:t>
            </w:r>
          </w:p>
        </w:tc>
        <w:tc>
          <w:tcPr>
            <w:tcW w:w="1616" w:type="pct"/>
            <w:tcBorders>
              <w:top w:val="nil"/>
              <w:left w:val="single" w:color="auto" w:sz="4" w:space="0"/>
              <w:bottom w:val="single" w:color="auto" w:sz="12" w:space="0"/>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162</w:t>
            </w:r>
          </w:p>
        </w:tc>
        <w:tc>
          <w:tcPr>
            <w:tcW w:w="1543" w:type="pct"/>
            <w:tcBorders>
              <w:top w:val="nil"/>
              <w:left w:val="single" w:color="auto" w:sz="4" w:space="0"/>
              <w:bottom w:val="single" w:color="auto" w:sz="12" w:space="0"/>
              <w:right w:val="nil"/>
            </w:tcBorders>
          </w:tcPr>
          <w:p>
            <w:pPr>
              <w:widowControl/>
              <w:spacing w:line="320" w:lineRule="exact"/>
              <w:ind w:right="57"/>
              <w:jc w:val="right"/>
              <w:rPr>
                <w:rFonts w:eastAsia="宋体"/>
                <w:color w:val="0C0C0C"/>
                <w:sz w:val="21"/>
                <w:szCs w:val="21"/>
              </w:rPr>
            </w:pPr>
            <w:r>
              <w:rPr>
                <w:rFonts w:eastAsia="宋体"/>
                <w:color w:val="0C0C0C"/>
                <w:sz w:val="21"/>
                <w:szCs w:val="21"/>
              </w:rPr>
              <w:t>0.11</w:t>
            </w:r>
          </w:p>
        </w:tc>
      </w:tr>
    </w:tbl>
    <w:p>
      <w:pPr>
        <w:widowControl/>
        <w:adjustRightInd w:val="0"/>
        <w:snapToGrid w:val="0"/>
        <w:spacing w:line="520" w:lineRule="exact"/>
        <w:ind w:firstLine="618"/>
        <w:rPr>
          <w:rFonts w:eastAsia="仿宋_GB2312"/>
          <w:color w:val="0C0C0C"/>
          <w:spacing w:val="-6"/>
          <w:szCs w:val="32"/>
        </w:rPr>
      </w:pPr>
      <w:r>
        <w:rPr>
          <w:rFonts w:eastAsia="仿宋_GB2312"/>
          <w:color w:val="0C0C0C"/>
          <w:spacing w:val="-6"/>
          <w:szCs w:val="32"/>
        </w:rPr>
        <w:t>在房地产业企业法人单位中，内资企业占</w:t>
      </w:r>
      <w:r>
        <w:rPr>
          <w:rFonts w:eastAsia="仿宋_GB2312"/>
          <w:color w:val="0C0C0C"/>
          <w:szCs w:val="32"/>
        </w:rPr>
        <w:t>97.7</w:t>
      </w:r>
      <w:r>
        <w:rPr>
          <w:rFonts w:eastAsia="仿宋_GB2312"/>
          <w:color w:val="0C0C0C"/>
          <w:spacing w:val="-6"/>
          <w:szCs w:val="32"/>
        </w:rPr>
        <w:t>%，港澳台投资企业占</w:t>
      </w:r>
      <w:r>
        <w:rPr>
          <w:rFonts w:eastAsia="仿宋_GB2312"/>
          <w:color w:val="0C0C0C"/>
          <w:szCs w:val="32"/>
        </w:rPr>
        <w:t>1.8</w:t>
      </w:r>
      <w:r>
        <w:rPr>
          <w:rFonts w:eastAsia="仿宋_GB2312"/>
          <w:color w:val="0C0C0C"/>
          <w:spacing w:val="-6"/>
          <w:szCs w:val="32"/>
        </w:rPr>
        <w:t>%，外商投资企业占</w:t>
      </w:r>
      <w:r>
        <w:rPr>
          <w:rFonts w:eastAsia="仿宋_GB2312"/>
          <w:color w:val="0C0C0C"/>
          <w:szCs w:val="32"/>
        </w:rPr>
        <w:t>0.5</w:t>
      </w:r>
      <w:r>
        <w:rPr>
          <w:rFonts w:eastAsia="仿宋_GB2312"/>
          <w:color w:val="0C0C0C"/>
          <w:spacing w:val="-6"/>
          <w:szCs w:val="32"/>
        </w:rPr>
        <w:t>%。</w:t>
      </w:r>
    </w:p>
    <w:p>
      <w:pPr>
        <w:widowControl/>
        <w:adjustRightInd w:val="0"/>
        <w:snapToGrid w:val="0"/>
        <w:spacing w:line="520" w:lineRule="exact"/>
        <w:ind w:firstLine="618"/>
        <w:rPr>
          <w:rFonts w:eastAsia="仿宋_GB2312"/>
          <w:color w:val="0C0C0C"/>
          <w:spacing w:val="-6"/>
          <w:szCs w:val="32"/>
        </w:rPr>
      </w:pPr>
      <w:r>
        <w:rPr>
          <w:rFonts w:eastAsia="仿宋_GB2312"/>
          <w:color w:val="0C0C0C"/>
          <w:spacing w:val="-6"/>
          <w:szCs w:val="32"/>
        </w:rPr>
        <w:t>在房地产业企业法人单位从业人员中，内资企业占</w:t>
      </w:r>
      <w:r>
        <w:rPr>
          <w:rFonts w:eastAsia="仿宋_GB2312"/>
          <w:color w:val="0C0C0C"/>
          <w:szCs w:val="32"/>
        </w:rPr>
        <w:t>97.6</w:t>
      </w:r>
      <w:r>
        <w:rPr>
          <w:rFonts w:eastAsia="仿宋_GB2312"/>
          <w:color w:val="0C0C0C"/>
          <w:spacing w:val="-6"/>
          <w:szCs w:val="32"/>
        </w:rPr>
        <w:t>%，港澳台投资企业占</w:t>
      </w:r>
      <w:r>
        <w:rPr>
          <w:rFonts w:eastAsia="仿宋_GB2312"/>
          <w:color w:val="0C0C0C"/>
          <w:szCs w:val="32"/>
        </w:rPr>
        <w:t>1.9</w:t>
      </w:r>
      <w:r>
        <w:rPr>
          <w:rFonts w:eastAsia="仿宋_GB2312"/>
          <w:color w:val="0C0C0C"/>
          <w:spacing w:val="-6"/>
          <w:szCs w:val="32"/>
        </w:rPr>
        <w:t>%，外商投资企业占</w:t>
      </w:r>
      <w:r>
        <w:rPr>
          <w:rFonts w:eastAsia="仿宋_GB2312"/>
          <w:color w:val="0C0C0C"/>
          <w:szCs w:val="32"/>
        </w:rPr>
        <w:t>0.5</w:t>
      </w:r>
      <w:r>
        <w:rPr>
          <w:rFonts w:eastAsia="仿宋_GB2312"/>
          <w:color w:val="0C0C0C"/>
          <w:spacing w:val="-6"/>
          <w:szCs w:val="32"/>
        </w:rPr>
        <w:t>%（详见表4-16）。</w:t>
      </w:r>
    </w:p>
    <w:p>
      <w:pPr>
        <w:widowControl/>
        <w:spacing w:before="173" w:beforeLines="30" w:line="320" w:lineRule="exact"/>
        <w:jc w:val="center"/>
        <w:rPr>
          <w:rFonts w:eastAsia="宋体"/>
          <w:b/>
          <w:color w:val="0C0C0C"/>
          <w:kern w:val="0"/>
          <w:sz w:val="24"/>
          <w:lang w:bidi="ar"/>
        </w:rPr>
      </w:pPr>
      <w:r>
        <w:rPr>
          <w:rFonts w:eastAsia="宋体"/>
          <w:b/>
          <w:color w:val="0C0C0C"/>
          <w:kern w:val="0"/>
          <w:sz w:val="24"/>
          <w:lang w:bidi="ar"/>
        </w:rPr>
        <w:t>表4-16　按登记注册统计类别分组的房地产业</w:t>
      </w:r>
    </w:p>
    <w:p>
      <w:pPr>
        <w:widowControl/>
        <w:spacing w:line="320" w:lineRule="exact"/>
        <w:jc w:val="center"/>
        <w:rPr>
          <w:rFonts w:eastAsia="宋体"/>
          <w:b/>
          <w:color w:val="0C0C0C"/>
          <w:kern w:val="0"/>
          <w:sz w:val="24"/>
          <w:lang w:bidi="ar"/>
        </w:rPr>
      </w:pPr>
      <w:r>
        <w:rPr>
          <w:rFonts w:eastAsia="宋体"/>
          <w:b/>
          <w:color w:val="0C0C0C"/>
          <w:kern w:val="0"/>
          <w:sz w:val="24"/>
          <w:lang w:bidi="ar"/>
        </w:rPr>
        <w:t xml:space="preserve">    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93"/>
        <w:gridCol w:w="2850"/>
        <w:gridCol w:w="20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8" w:hRule="atLeast"/>
          <w:jc w:val="center"/>
        </w:trPr>
        <w:tc>
          <w:tcPr>
            <w:tcW w:w="2202" w:type="pct"/>
            <w:tcBorders>
              <w:top w:val="single" w:color="auto" w:sz="12" w:space="0"/>
              <w:left w:val="nil"/>
              <w:bottom w:val="single" w:color="auto" w:sz="4" w:space="0"/>
              <w:right w:val="single" w:color="auto" w:sz="4" w:space="0"/>
            </w:tcBorders>
            <w:vAlign w:val="center"/>
          </w:tcPr>
          <w:p>
            <w:pPr>
              <w:widowControl/>
              <w:spacing w:line="320" w:lineRule="exact"/>
              <w:jc w:val="left"/>
              <w:rPr>
                <w:rFonts w:eastAsia="宋体"/>
                <w:color w:val="0C0C0C"/>
                <w:sz w:val="21"/>
                <w:szCs w:val="21"/>
              </w:rPr>
            </w:pPr>
          </w:p>
        </w:tc>
        <w:tc>
          <w:tcPr>
            <w:tcW w:w="1612"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企业法人单位</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1186"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从业人员</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single" w:color="auto" w:sz="4" w:space="0"/>
              <w:left w:val="nil"/>
              <w:bottom w:val="nil"/>
              <w:right w:val="single" w:color="auto" w:sz="4" w:space="0"/>
            </w:tcBorders>
            <w:vAlign w:val="center"/>
          </w:tcPr>
          <w:p>
            <w:pPr>
              <w:widowControl/>
              <w:spacing w:line="340" w:lineRule="exact"/>
              <w:ind w:right="57"/>
              <w:jc w:val="center"/>
              <w:rPr>
                <w:rFonts w:eastAsia="宋体"/>
                <w:color w:val="0C0C0C"/>
                <w:sz w:val="21"/>
                <w:szCs w:val="21"/>
              </w:rPr>
            </w:pPr>
            <w:r>
              <w:rPr>
                <w:rFonts w:eastAsia="宋体"/>
                <w:b/>
                <w:color w:val="0C0C0C"/>
                <w:kern w:val="0"/>
                <w:sz w:val="21"/>
                <w:szCs w:val="21"/>
                <w:lang w:bidi="ar"/>
              </w:rPr>
              <w:t>合　计</w:t>
            </w:r>
          </w:p>
        </w:tc>
        <w:tc>
          <w:tcPr>
            <w:tcW w:w="1612" w:type="pct"/>
            <w:tcBorders>
              <w:top w:val="single" w:color="auto" w:sz="4" w:space="0"/>
              <w:left w:val="single" w:color="auto" w:sz="4" w:space="0"/>
              <w:bottom w:val="nil"/>
              <w:right w:val="single" w:color="auto" w:sz="4" w:space="0"/>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12167</w:t>
            </w:r>
          </w:p>
        </w:tc>
        <w:tc>
          <w:tcPr>
            <w:tcW w:w="1186" w:type="pct"/>
            <w:tcBorders>
              <w:top w:val="single" w:color="auto" w:sz="4" w:space="0"/>
              <w:left w:val="single" w:color="auto" w:sz="4" w:space="0"/>
              <w:bottom w:val="nil"/>
              <w:right w:val="nil"/>
            </w:tcBorders>
          </w:tcPr>
          <w:p>
            <w:pPr>
              <w:widowControl/>
              <w:spacing w:line="320" w:lineRule="exact"/>
              <w:ind w:right="57"/>
              <w:jc w:val="right"/>
              <w:rPr>
                <w:rFonts w:eastAsia="宋体"/>
                <w:b/>
                <w:color w:val="0C0C0C"/>
                <w:sz w:val="21"/>
                <w:szCs w:val="21"/>
              </w:rPr>
            </w:pPr>
            <w:r>
              <w:rPr>
                <w:rFonts w:eastAsia="宋体"/>
                <w:b/>
                <w:color w:val="0C0C0C"/>
                <w:sz w:val="21"/>
                <w:szCs w:val="21"/>
              </w:rPr>
              <w:t>21.87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nil"/>
              <w:right w:val="single" w:color="auto" w:sz="4" w:space="0"/>
            </w:tcBorders>
            <w:vAlign w:val="center"/>
          </w:tcPr>
          <w:p>
            <w:pPr>
              <w:widowControl/>
              <w:spacing w:line="340" w:lineRule="exact"/>
              <w:ind w:right="57"/>
              <w:jc w:val="left"/>
              <w:rPr>
                <w:rFonts w:eastAsia="宋体"/>
                <w:bCs/>
                <w:color w:val="0C0C0C"/>
                <w:sz w:val="21"/>
                <w:szCs w:val="21"/>
              </w:rPr>
            </w:pPr>
            <w:r>
              <w:rPr>
                <w:rFonts w:eastAsia="宋体"/>
                <w:bCs/>
                <w:color w:val="0C0C0C"/>
                <w:kern w:val="0"/>
                <w:sz w:val="21"/>
                <w:szCs w:val="21"/>
                <w:lang w:bidi="ar"/>
              </w:rPr>
              <w:t>内资企业</w:t>
            </w:r>
          </w:p>
        </w:tc>
        <w:tc>
          <w:tcPr>
            <w:tcW w:w="1612"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11893</w:t>
            </w:r>
          </w:p>
        </w:tc>
        <w:tc>
          <w:tcPr>
            <w:tcW w:w="1186" w:type="pct"/>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21.34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nil"/>
              <w:right w:val="single" w:color="auto" w:sz="4" w:space="0"/>
            </w:tcBorders>
            <w:vAlign w:val="center"/>
          </w:tcPr>
          <w:p>
            <w:pPr>
              <w:widowControl/>
              <w:spacing w:line="340" w:lineRule="exact"/>
              <w:ind w:right="57"/>
              <w:jc w:val="left"/>
              <w:rPr>
                <w:rFonts w:eastAsia="宋体"/>
                <w:bCs/>
                <w:color w:val="0C0C0C"/>
                <w:sz w:val="21"/>
                <w:szCs w:val="21"/>
              </w:rPr>
            </w:pPr>
            <w:r>
              <w:rPr>
                <w:rFonts w:eastAsia="宋体"/>
                <w:bCs/>
                <w:color w:val="0C0C0C"/>
                <w:kern w:val="0"/>
                <w:sz w:val="21"/>
                <w:szCs w:val="21"/>
                <w:lang w:val="en" w:bidi="ar"/>
              </w:rPr>
              <w:t>港澳台</w:t>
            </w:r>
            <w:r>
              <w:rPr>
                <w:rFonts w:eastAsia="宋体"/>
                <w:bCs/>
                <w:color w:val="0C0C0C"/>
                <w:kern w:val="0"/>
                <w:sz w:val="21"/>
                <w:szCs w:val="21"/>
                <w:lang w:bidi="ar"/>
              </w:rPr>
              <w:t>投资企业</w:t>
            </w:r>
          </w:p>
        </w:tc>
        <w:tc>
          <w:tcPr>
            <w:tcW w:w="1612"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214</w:t>
            </w:r>
          </w:p>
        </w:tc>
        <w:tc>
          <w:tcPr>
            <w:tcW w:w="1186" w:type="pct"/>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0.42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nil"/>
              <w:right w:val="single" w:color="auto" w:sz="4" w:space="0"/>
            </w:tcBorders>
            <w:vAlign w:val="center"/>
          </w:tcPr>
          <w:p>
            <w:pPr>
              <w:widowControl/>
              <w:spacing w:line="340" w:lineRule="exact"/>
              <w:ind w:right="57"/>
              <w:jc w:val="left"/>
              <w:rPr>
                <w:rFonts w:eastAsia="宋体"/>
                <w:bCs/>
                <w:color w:val="0C0C0C"/>
                <w:sz w:val="21"/>
                <w:szCs w:val="21"/>
              </w:rPr>
            </w:pPr>
            <w:r>
              <w:rPr>
                <w:rFonts w:eastAsia="宋体"/>
                <w:bCs/>
                <w:color w:val="0C0C0C"/>
                <w:kern w:val="0"/>
                <w:sz w:val="21"/>
                <w:szCs w:val="21"/>
                <w:lang w:bidi="ar"/>
              </w:rPr>
              <w:t>外商投资企业</w:t>
            </w:r>
          </w:p>
        </w:tc>
        <w:tc>
          <w:tcPr>
            <w:tcW w:w="1612" w:type="pct"/>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60</w:t>
            </w:r>
          </w:p>
        </w:tc>
        <w:tc>
          <w:tcPr>
            <w:tcW w:w="1186" w:type="pct"/>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2" w:type="pct"/>
            <w:tcBorders>
              <w:top w:val="nil"/>
              <w:left w:val="nil"/>
              <w:bottom w:val="single" w:color="auto" w:sz="12" w:space="0"/>
              <w:right w:val="single" w:color="auto" w:sz="4" w:space="0"/>
            </w:tcBorders>
            <w:vAlign w:val="center"/>
          </w:tcPr>
          <w:p>
            <w:pPr>
              <w:widowControl/>
              <w:spacing w:line="340" w:lineRule="exact"/>
              <w:ind w:right="57"/>
              <w:jc w:val="left"/>
              <w:rPr>
                <w:rFonts w:eastAsia="宋体"/>
                <w:bCs/>
                <w:color w:val="0C0C0C"/>
                <w:kern w:val="0"/>
                <w:sz w:val="21"/>
                <w:szCs w:val="21"/>
                <w:lang w:bidi="ar"/>
              </w:rPr>
            </w:pPr>
            <w:r>
              <w:rPr>
                <w:rFonts w:eastAsia="宋体"/>
                <w:bCs/>
                <w:color w:val="0C0C0C"/>
                <w:kern w:val="0"/>
                <w:sz w:val="21"/>
                <w:szCs w:val="21"/>
                <w:lang w:bidi="ar"/>
              </w:rPr>
              <w:t>其他统计类别</w:t>
            </w:r>
          </w:p>
        </w:tc>
        <w:tc>
          <w:tcPr>
            <w:tcW w:w="1612" w:type="pct"/>
            <w:tcBorders>
              <w:top w:val="nil"/>
              <w:left w:val="single" w:color="auto" w:sz="4" w:space="0"/>
              <w:bottom w:val="single" w:color="auto" w:sz="12" w:space="0"/>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w:t>
            </w:r>
          </w:p>
        </w:tc>
        <w:tc>
          <w:tcPr>
            <w:tcW w:w="1186" w:type="pct"/>
            <w:tcBorders>
              <w:top w:val="nil"/>
              <w:left w:val="single" w:color="auto" w:sz="4" w:space="0"/>
              <w:bottom w:val="single" w:color="auto" w:sz="12" w:space="0"/>
              <w:right w:val="nil"/>
            </w:tcBorders>
          </w:tcPr>
          <w:p>
            <w:pPr>
              <w:widowControl/>
              <w:spacing w:line="320" w:lineRule="exact"/>
              <w:ind w:right="57"/>
              <w:jc w:val="right"/>
              <w:rPr>
                <w:rFonts w:eastAsia="宋体"/>
                <w:color w:val="0C0C0C"/>
                <w:sz w:val="21"/>
                <w:szCs w:val="21"/>
              </w:rPr>
            </w:pPr>
            <w:r>
              <w:rPr>
                <w:rFonts w:eastAsia="宋体"/>
                <w:color w:val="0C0C0C"/>
                <w:sz w:val="21"/>
                <w:szCs w:val="21"/>
              </w:rPr>
              <w:t>--</w:t>
            </w:r>
          </w:p>
        </w:tc>
      </w:tr>
    </w:tbl>
    <w:p>
      <w:pPr>
        <w:widowControl/>
        <w:adjustRightInd w:val="0"/>
        <w:snapToGrid w:val="0"/>
        <w:spacing w:line="500" w:lineRule="exact"/>
        <w:rPr>
          <w:rFonts w:eastAsia="楷体_GB2312"/>
          <w:color w:val="0C0C0C"/>
          <w:kern w:val="0"/>
          <w:szCs w:val="32"/>
          <w:lang w:bidi="ar"/>
        </w:rPr>
      </w:pPr>
      <w:r>
        <w:rPr>
          <w:rFonts w:eastAsia="楷体_GB2312"/>
          <w:color w:val="0C0C0C"/>
          <w:kern w:val="0"/>
          <w:szCs w:val="32"/>
          <w:lang w:bidi="ar"/>
        </w:rPr>
        <w:t xml:space="preserve">    （二）主要经济指标</w:t>
      </w:r>
    </w:p>
    <w:p>
      <w:pPr>
        <w:widowControl/>
        <w:adjustRightInd w:val="0"/>
        <w:snapToGrid w:val="0"/>
        <w:spacing w:line="500" w:lineRule="exact"/>
        <w:ind w:firstLine="616"/>
        <w:rPr>
          <w:rFonts w:eastAsia="仿宋_GB2312"/>
          <w:color w:val="0C0C0C"/>
          <w:spacing w:val="-6"/>
          <w:szCs w:val="32"/>
        </w:rPr>
      </w:pPr>
      <w:r>
        <w:rPr>
          <w:rFonts w:eastAsia="仿宋_GB2312"/>
          <w:color w:val="0C0C0C"/>
          <w:spacing w:val="-6"/>
          <w:szCs w:val="32"/>
        </w:rPr>
        <w:t>2023年末，全市房地产业企业法人单位资产总计</w:t>
      </w:r>
      <w:r>
        <w:rPr>
          <w:rFonts w:eastAsia="仿宋_GB2312"/>
          <w:color w:val="0C0C0C"/>
          <w:szCs w:val="32"/>
        </w:rPr>
        <w:t>33910.86</w:t>
      </w:r>
      <w:r>
        <w:rPr>
          <w:rFonts w:eastAsia="仿宋_GB2312"/>
          <w:color w:val="0C0C0C"/>
          <w:spacing w:val="-6"/>
          <w:szCs w:val="32"/>
        </w:rPr>
        <w:t>亿元，比2018年末增长</w:t>
      </w:r>
      <w:r>
        <w:rPr>
          <w:rFonts w:eastAsia="仿宋_GB2312"/>
          <w:color w:val="0C0C0C"/>
          <w:szCs w:val="32"/>
        </w:rPr>
        <w:t>51.8</w:t>
      </w:r>
      <w:r>
        <w:rPr>
          <w:rFonts w:eastAsia="仿宋_GB2312"/>
          <w:color w:val="0C0C0C"/>
          <w:spacing w:val="-6"/>
          <w:szCs w:val="32"/>
        </w:rPr>
        <w:t>%。其中，房地产开发经营企业</w:t>
      </w:r>
      <w:r>
        <w:rPr>
          <w:rFonts w:eastAsia="仿宋_GB2312"/>
          <w:color w:val="0C0C0C"/>
          <w:szCs w:val="32"/>
        </w:rPr>
        <w:t>27425.72</w:t>
      </w:r>
      <w:r>
        <w:rPr>
          <w:rFonts w:eastAsia="仿宋_GB2312"/>
          <w:color w:val="0C0C0C"/>
          <w:spacing w:val="-6"/>
          <w:szCs w:val="32"/>
        </w:rPr>
        <w:t>亿元，物业管理企业</w:t>
      </w:r>
      <w:r>
        <w:rPr>
          <w:rFonts w:eastAsia="仿宋_GB2312"/>
          <w:color w:val="0C0C0C"/>
          <w:szCs w:val="32"/>
        </w:rPr>
        <w:t>1121.33</w:t>
      </w:r>
      <w:r>
        <w:rPr>
          <w:rFonts w:eastAsia="仿宋_GB2312"/>
          <w:color w:val="0C0C0C"/>
          <w:spacing w:val="-6"/>
          <w:szCs w:val="32"/>
        </w:rPr>
        <w:t>亿元，房地产中介服务企业</w:t>
      </w:r>
      <w:r>
        <w:rPr>
          <w:rFonts w:eastAsia="仿宋_GB2312"/>
          <w:color w:val="0C0C0C"/>
          <w:szCs w:val="32"/>
        </w:rPr>
        <w:t>690.67</w:t>
      </w:r>
      <w:r>
        <w:rPr>
          <w:rFonts w:eastAsia="仿宋_GB2312"/>
          <w:color w:val="0C0C0C"/>
          <w:spacing w:val="-6"/>
          <w:szCs w:val="32"/>
        </w:rPr>
        <w:t>亿元，分别比2018年末增长</w:t>
      </w:r>
      <w:r>
        <w:rPr>
          <w:rFonts w:eastAsia="仿宋_GB2312"/>
          <w:color w:val="0C0C0C"/>
          <w:szCs w:val="32"/>
        </w:rPr>
        <w:t>40.9</w:t>
      </w:r>
      <w:r>
        <w:rPr>
          <w:rFonts w:eastAsia="仿宋_GB2312"/>
          <w:color w:val="0C0C0C"/>
          <w:spacing w:val="-6"/>
          <w:szCs w:val="32"/>
        </w:rPr>
        <w:t>%、</w:t>
      </w:r>
      <w:r>
        <w:rPr>
          <w:rFonts w:eastAsia="仿宋_GB2312"/>
          <w:color w:val="0C0C0C"/>
          <w:szCs w:val="32"/>
        </w:rPr>
        <w:t>148.5</w:t>
      </w:r>
      <w:r>
        <w:rPr>
          <w:rFonts w:eastAsia="仿宋_GB2312"/>
          <w:color w:val="0C0C0C"/>
          <w:spacing w:val="-6"/>
          <w:szCs w:val="32"/>
        </w:rPr>
        <w:t>%和</w:t>
      </w:r>
      <w:r>
        <w:rPr>
          <w:rFonts w:eastAsia="仿宋_GB2312"/>
          <w:color w:val="0C0C0C"/>
          <w:szCs w:val="32"/>
        </w:rPr>
        <w:t>74.4</w:t>
      </w:r>
      <w:r>
        <w:rPr>
          <w:rFonts w:eastAsia="仿宋_GB2312"/>
          <w:color w:val="0C0C0C"/>
          <w:spacing w:val="-6"/>
          <w:szCs w:val="32"/>
        </w:rPr>
        <w:t>%。房地产业企业法人单位负债合计</w:t>
      </w:r>
      <w:r>
        <w:rPr>
          <w:rFonts w:eastAsia="仿宋_GB2312"/>
          <w:color w:val="0C0C0C"/>
          <w:szCs w:val="32"/>
        </w:rPr>
        <w:t>23044.35</w:t>
      </w:r>
      <w:r>
        <w:rPr>
          <w:rFonts w:eastAsia="仿宋_GB2312"/>
          <w:color w:val="0C0C0C"/>
          <w:spacing w:val="-6"/>
          <w:szCs w:val="32"/>
        </w:rPr>
        <w:t>亿元，比2018年末增长</w:t>
      </w:r>
      <w:r>
        <w:rPr>
          <w:rFonts w:eastAsia="仿宋_GB2312"/>
          <w:color w:val="0C0C0C"/>
          <w:szCs w:val="32"/>
        </w:rPr>
        <w:t>36.7</w:t>
      </w:r>
      <w:r>
        <w:rPr>
          <w:rFonts w:eastAsia="仿宋_GB2312"/>
          <w:color w:val="0C0C0C"/>
          <w:spacing w:val="-6"/>
          <w:szCs w:val="32"/>
        </w:rPr>
        <w:t>%。</w:t>
      </w:r>
    </w:p>
    <w:p>
      <w:pPr>
        <w:widowControl/>
        <w:adjustRightInd w:val="0"/>
        <w:snapToGrid w:val="0"/>
        <w:spacing w:line="500" w:lineRule="exact"/>
        <w:ind w:firstLine="616"/>
        <w:rPr>
          <w:rFonts w:eastAsia="仿宋_GB2312"/>
          <w:color w:val="0C0C0C"/>
          <w:spacing w:val="-6"/>
          <w:szCs w:val="32"/>
        </w:rPr>
      </w:pPr>
      <w:r>
        <w:rPr>
          <w:rFonts w:eastAsia="仿宋_GB2312"/>
          <w:color w:val="0C0C0C"/>
          <w:spacing w:val="-6"/>
          <w:szCs w:val="32"/>
        </w:rPr>
        <w:t>2023年，房地产业企业法人单位实现营业收入</w:t>
      </w:r>
      <w:r>
        <w:rPr>
          <w:rFonts w:eastAsia="仿宋_GB2312"/>
          <w:color w:val="0C0C0C"/>
          <w:szCs w:val="32"/>
        </w:rPr>
        <w:t>4394.63</w:t>
      </w:r>
      <w:r>
        <w:rPr>
          <w:rFonts w:eastAsia="仿宋_GB2312"/>
          <w:color w:val="0C0C0C"/>
          <w:spacing w:val="-6"/>
          <w:szCs w:val="32"/>
        </w:rPr>
        <w:t>亿元，比2018年增长</w:t>
      </w:r>
      <w:r>
        <w:rPr>
          <w:rFonts w:eastAsia="仿宋_GB2312"/>
          <w:color w:val="0C0C0C"/>
          <w:szCs w:val="32"/>
        </w:rPr>
        <w:t>19.0</w:t>
      </w:r>
      <w:r>
        <w:rPr>
          <w:rFonts w:eastAsia="仿宋_GB2312"/>
          <w:color w:val="0C0C0C"/>
          <w:spacing w:val="-6"/>
          <w:szCs w:val="32"/>
        </w:rPr>
        <w:t>%（详见表4-17）。</w:t>
      </w:r>
    </w:p>
    <w:p>
      <w:pPr>
        <w:widowControl/>
        <w:spacing w:line="600" w:lineRule="exact"/>
        <w:jc w:val="center"/>
        <w:rPr>
          <w:rFonts w:eastAsia="宋体"/>
          <w:b/>
          <w:color w:val="0C0C0C"/>
          <w:kern w:val="0"/>
          <w:sz w:val="24"/>
          <w:lang w:bidi="ar"/>
        </w:rPr>
      </w:pPr>
      <w:r>
        <w:rPr>
          <w:rFonts w:eastAsia="宋体"/>
          <w:b/>
          <w:color w:val="0C0C0C"/>
          <w:kern w:val="0"/>
          <w:sz w:val="24"/>
          <w:lang w:bidi="ar"/>
        </w:rPr>
        <w:t>表4-17　按行业中类分组的房地产业企业法人单位主要经济指标</w:t>
      </w:r>
    </w:p>
    <w:tbl>
      <w:tblPr>
        <w:tblStyle w:val="1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09"/>
        <w:gridCol w:w="1603"/>
        <w:gridCol w:w="1603"/>
        <w:gridCol w:w="16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3709" w:type="dxa"/>
            <w:tcBorders>
              <w:top w:val="single" w:color="auto" w:sz="12" w:space="0"/>
              <w:left w:val="nil"/>
              <w:bottom w:val="single" w:color="auto" w:sz="4" w:space="0"/>
              <w:right w:val="single" w:color="auto" w:sz="4" w:space="0"/>
            </w:tcBorders>
            <w:vAlign w:val="center"/>
          </w:tcPr>
          <w:p>
            <w:pPr>
              <w:widowControl/>
              <w:spacing w:line="320" w:lineRule="exact"/>
              <w:jc w:val="left"/>
              <w:rPr>
                <w:rFonts w:eastAsia="宋体"/>
                <w:color w:val="0C0C0C"/>
                <w:sz w:val="21"/>
                <w:szCs w:val="21"/>
              </w:rPr>
            </w:pPr>
            <w:r>
              <w:rPr>
                <w:rFonts w:eastAsia="宋体"/>
                <w:color w:val="0C0C0C"/>
                <w:kern w:val="0"/>
                <w:sz w:val="21"/>
                <w:szCs w:val="21"/>
                <w:lang w:bidi="ar"/>
              </w:rPr>
              <w:t>　</w:t>
            </w:r>
          </w:p>
        </w:tc>
        <w:tc>
          <w:tcPr>
            <w:tcW w:w="1603" w:type="dxa"/>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资产总计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1603" w:type="dxa"/>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负债合计</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1605" w:type="dxa"/>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营业收入</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3709" w:type="dxa"/>
            <w:tcBorders>
              <w:top w:val="single" w:color="auto" w:sz="4" w:space="0"/>
              <w:left w:val="nil"/>
              <w:bottom w:val="nil"/>
              <w:right w:val="single" w:color="auto" w:sz="4" w:space="0"/>
            </w:tcBorders>
            <w:vAlign w:val="center"/>
          </w:tcPr>
          <w:p>
            <w:pPr>
              <w:widowControl/>
              <w:spacing w:line="340" w:lineRule="exact"/>
              <w:ind w:right="57"/>
              <w:jc w:val="center"/>
              <w:rPr>
                <w:rFonts w:eastAsia="宋体"/>
                <w:color w:val="0C0C0C"/>
                <w:sz w:val="21"/>
                <w:szCs w:val="21"/>
              </w:rPr>
            </w:pPr>
            <w:r>
              <w:rPr>
                <w:rFonts w:eastAsia="宋体"/>
                <w:b/>
                <w:color w:val="0C0C0C"/>
                <w:kern w:val="0"/>
                <w:sz w:val="21"/>
                <w:szCs w:val="21"/>
                <w:lang w:bidi="ar"/>
              </w:rPr>
              <w:t>合　计</w:t>
            </w:r>
          </w:p>
        </w:tc>
        <w:tc>
          <w:tcPr>
            <w:tcW w:w="1603" w:type="dxa"/>
            <w:tcBorders>
              <w:top w:val="single" w:color="auto" w:sz="4" w:space="0"/>
              <w:left w:val="single" w:color="auto" w:sz="4" w:space="0"/>
              <w:bottom w:val="nil"/>
              <w:right w:val="single" w:color="auto" w:sz="4" w:space="0"/>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33910.86</w:t>
            </w:r>
          </w:p>
        </w:tc>
        <w:tc>
          <w:tcPr>
            <w:tcW w:w="1603" w:type="dxa"/>
            <w:tcBorders>
              <w:top w:val="single" w:color="auto" w:sz="4" w:space="0"/>
              <w:left w:val="single" w:color="auto" w:sz="4" w:space="0"/>
              <w:bottom w:val="nil"/>
              <w:right w:val="single" w:color="auto" w:sz="4" w:space="0"/>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23044.35</w:t>
            </w:r>
          </w:p>
        </w:tc>
        <w:tc>
          <w:tcPr>
            <w:tcW w:w="1605" w:type="dxa"/>
            <w:tcBorders>
              <w:top w:val="single" w:color="auto" w:sz="4" w:space="0"/>
              <w:left w:val="single" w:color="auto" w:sz="4" w:space="0"/>
              <w:bottom w:val="nil"/>
              <w:right w:val="nil"/>
            </w:tcBorders>
          </w:tcPr>
          <w:p>
            <w:pPr>
              <w:widowControl/>
              <w:spacing w:line="320" w:lineRule="exact"/>
              <w:ind w:right="57"/>
              <w:jc w:val="right"/>
              <w:rPr>
                <w:rFonts w:eastAsia="宋体"/>
                <w:b/>
                <w:color w:val="0C0C0C"/>
                <w:kern w:val="0"/>
                <w:sz w:val="21"/>
                <w:szCs w:val="21"/>
                <w:lang w:bidi="ar"/>
              </w:rPr>
            </w:pPr>
            <w:r>
              <w:rPr>
                <w:rFonts w:eastAsia="宋体"/>
                <w:b/>
                <w:color w:val="0C0C0C"/>
                <w:kern w:val="0"/>
                <w:sz w:val="21"/>
                <w:szCs w:val="21"/>
                <w:lang w:bidi="ar"/>
              </w:rPr>
              <w:t>4394.63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3709" w:type="dxa"/>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房地产开发经营</w:t>
            </w:r>
          </w:p>
        </w:tc>
        <w:tc>
          <w:tcPr>
            <w:tcW w:w="160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27425.72</w:t>
            </w:r>
          </w:p>
        </w:tc>
        <w:tc>
          <w:tcPr>
            <w:tcW w:w="160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19094.39</w:t>
            </w:r>
          </w:p>
        </w:tc>
        <w:tc>
          <w:tcPr>
            <w:tcW w:w="1605" w:type="dxa"/>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3806.54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3709" w:type="dxa"/>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物业管理</w:t>
            </w:r>
          </w:p>
        </w:tc>
        <w:tc>
          <w:tcPr>
            <w:tcW w:w="160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1121.33</w:t>
            </w:r>
          </w:p>
        </w:tc>
        <w:tc>
          <w:tcPr>
            <w:tcW w:w="160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638.90</w:t>
            </w:r>
          </w:p>
        </w:tc>
        <w:tc>
          <w:tcPr>
            <w:tcW w:w="1605" w:type="dxa"/>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274.01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4" w:hRule="atLeast"/>
          <w:jc w:val="center"/>
        </w:trPr>
        <w:tc>
          <w:tcPr>
            <w:tcW w:w="3709" w:type="dxa"/>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房地产中介服务</w:t>
            </w:r>
          </w:p>
        </w:tc>
        <w:tc>
          <w:tcPr>
            <w:tcW w:w="160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690.67</w:t>
            </w:r>
          </w:p>
        </w:tc>
        <w:tc>
          <w:tcPr>
            <w:tcW w:w="160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365.51</w:t>
            </w:r>
          </w:p>
        </w:tc>
        <w:tc>
          <w:tcPr>
            <w:tcW w:w="1605" w:type="dxa"/>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73.47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3709" w:type="dxa"/>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房地产租赁经营</w:t>
            </w:r>
          </w:p>
        </w:tc>
        <w:tc>
          <w:tcPr>
            <w:tcW w:w="160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4093.13</w:t>
            </w:r>
          </w:p>
        </w:tc>
        <w:tc>
          <w:tcPr>
            <w:tcW w:w="1603" w:type="dxa"/>
            <w:tcBorders>
              <w:top w:val="nil"/>
              <w:left w:val="single" w:color="auto" w:sz="4" w:space="0"/>
              <w:bottom w:val="nil"/>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2758.60</w:t>
            </w:r>
          </w:p>
        </w:tc>
        <w:tc>
          <w:tcPr>
            <w:tcW w:w="1605" w:type="dxa"/>
            <w:tcBorders>
              <w:top w:val="nil"/>
              <w:left w:val="single" w:color="auto" w:sz="4" w:space="0"/>
              <w:bottom w:val="nil"/>
              <w:right w:val="nil"/>
            </w:tcBorders>
          </w:tcPr>
          <w:p>
            <w:pPr>
              <w:widowControl/>
              <w:spacing w:line="320" w:lineRule="exact"/>
              <w:ind w:right="57"/>
              <w:jc w:val="right"/>
              <w:rPr>
                <w:rFonts w:eastAsia="宋体"/>
                <w:color w:val="0C0C0C"/>
                <w:sz w:val="21"/>
                <w:szCs w:val="21"/>
              </w:rPr>
            </w:pPr>
            <w:r>
              <w:rPr>
                <w:rFonts w:eastAsia="宋体"/>
                <w:color w:val="0C0C0C"/>
                <w:sz w:val="21"/>
                <w:szCs w:val="21"/>
              </w:rPr>
              <w:t>227.47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3709" w:type="dxa"/>
            <w:tcBorders>
              <w:top w:val="nil"/>
              <w:left w:val="nil"/>
              <w:bottom w:val="single" w:color="auto" w:sz="12" w:space="0"/>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其他房地产业</w:t>
            </w:r>
          </w:p>
        </w:tc>
        <w:tc>
          <w:tcPr>
            <w:tcW w:w="1603" w:type="dxa"/>
            <w:tcBorders>
              <w:top w:val="nil"/>
              <w:left w:val="single" w:color="auto" w:sz="4" w:space="0"/>
              <w:bottom w:val="single" w:color="auto" w:sz="12" w:space="0"/>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580.01</w:t>
            </w:r>
          </w:p>
        </w:tc>
        <w:tc>
          <w:tcPr>
            <w:tcW w:w="1603" w:type="dxa"/>
            <w:tcBorders>
              <w:top w:val="nil"/>
              <w:left w:val="single" w:color="auto" w:sz="4" w:space="0"/>
              <w:bottom w:val="single" w:color="auto" w:sz="12" w:space="0"/>
              <w:right w:val="single" w:color="auto" w:sz="4" w:space="0"/>
            </w:tcBorders>
          </w:tcPr>
          <w:p>
            <w:pPr>
              <w:widowControl/>
              <w:spacing w:line="320" w:lineRule="exact"/>
              <w:ind w:right="57"/>
              <w:jc w:val="right"/>
              <w:rPr>
                <w:rFonts w:eastAsia="宋体"/>
                <w:color w:val="0C0C0C"/>
                <w:sz w:val="21"/>
                <w:szCs w:val="21"/>
              </w:rPr>
            </w:pPr>
            <w:r>
              <w:rPr>
                <w:rFonts w:eastAsia="宋体"/>
                <w:color w:val="0C0C0C"/>
                <w:sz w:val="21"/>
                <w:szCs w:val="21"/>
              </w:rPr>
              <w:t>186.95</w:t>
            </w:r>
          </w:p>
        </w:tc>
        <w:tc>
          <w:tcPr>
            <w:tcW w:w="1605" w:type="dxa"/>
            <w:tcBorders>
              <w:top w:val="nil"/>
              <w:left w:val="single" w:color="auto" w:sz="4" w:space="0"/>
              <w:bottom w:val="single" w:color="auto" w:sz="12" w:space="0"/>
              <w:right w:val="nil"/>
            </w:tcBorders>
          </w:tcPr>
          <w:p>
            <w:pPr>
              <w:widowControl/>
              <w:spacing w:line="320" w:lineRule="exact"/>
              <w:ind w:right="57"/>
              <w:jc w:val="right"/>
              <w:rPr>
                <w:rFonts w:eastAsia="宋体"/>
                <w:color w:val="0C0C0C"/>
                <w:sz w:val="21"/>
                <w:szCs w:val="21"/>
              </w:rPr>
            </w:pPr>
            <w:r>
              <w:rPr>
                <w:rFonts w:eastAsia="宋体"/>
                <w:color w:val="0C0C0C"/>
                <w:sz w:val="21"/>
                <w:szCs w:val="21"/>
              </w:rPr>
              <w:t>13.14</w:t>
            </w:r>
          </w:p>
        </w:tc>
      </w:tr>
    </w:tbl>
    <w:p>
      <w:pPr>
        <w:widowControl/>
        <w:adjustRightInd w:val="0"/>
        <w:snapToGrid w:val="0"/>
        <w:spacing w:line="520" w:lineRule="exact"/>
        <w:rPr>
          <w:color w:val="0C0C0C"/>
          <w:szCs w:val="32"/>
        </w:rPr>
      </w:pPr>
      <w:r>
        <w:rPr>
          <w:b/>
          <w:color w:val="0C0C0C"/>
          <w:kern w:val="0"/>
          <w:szCs w:val="32"/>
          <w:lang w:bidi="ar"/>
        </w:rPr>
        <w:t xml:space="preserve">    </w:t>
      </w:r>
      <w:r>
        <w:rPr>
          <w:rFonts w:eastAsia="黑体"/>
          <w:bCs/>
          <w:color w:val="0C0C0C"/>
          <w:kern w:val="0"/>
          <w:szCs w:val="32"/>
          <w:lang w:bidi="ar"/>
        </w:rPr>
        <w:t>七、租赁和商务服务业</w:t>
      </w:r>
    </w:p>
    <w:p>
      <w:pPr>
        <w:widowControl/>
        <w:adjustRightInd w:val="0"/>
        <w:snapToGrid w:val="0"/>
        <w:spacing w:line="520" w:lineRule="exact"/>
        <w:rPr>
          <w:rFonts w:eastAsia="楷体_GB2312"/>
          <w:color w:val="0C0C0C"/>
          <w:kern w:val="0"/>
          <w:szCs w:val="32"/>
          <w:lang w:bidi="ar"/>
        </w:rPr>
      </w:pPr>
      <w:r>
        <w:rPr>
          <w:color w:val="0C0C0C"/>
          <w:kern w:val="0"/>
          <w:szCs w:val="32"/>
          <w:lang w:bidi="ar"/>
        </w:rPr>
        <w:t>　　</w:t>
      </w:r>
      <w:r>
        <w:rPr>
          <w:rFonts w:eastAsia="楷体_GB2312"/>
          <w:color w:val="0C0C0C"/>
          <w:kern w:val="0"/>
          <w:szCs w:val="32"/>
          <w:lang w:bidi="ar"/>
        </w:rPr>
        <w:t>（一）企业法人单位数和从业人员</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rPr>
        <w:t>2023年末，全市共有租赁和商务服务业企业法人单位</w:t>
      </w:r>
      <w:r>
        <w:rPr>
          <w:rFonts w:eastAsia="仿宋_GB2312"/>
          <w:color w:val="0C0C0C"/>
          <w:szCs w:val="32"/>
        </w:rPr>
        <w:t>5.87万个，从业人员55.42万人，分别比2018年末增长130.4%和64.6%</w:t>
      </w:r>
      <w:r>
        <w:rPr>
          <w:rFonts w:eastAsia="仿宋_GB2312"/>
          <w:color w:val="0C0C0C"/>
          <w:spacing w:val="-6"/>
          <w:szCs w:val="32"/>
        </w:rPr>
        <w:t>。</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rPr>
        <w:t>在租赁和商务服务业企业法人单位中，租赁业占</w:t>
      </w:r>
      <w:r>
        <w:rPr>
          <w:rFonts w:eastAsia="仿宋_GB2312"/>
          <w:color w:val="0C0C0C"/>
          <w:szCs w:val="32"/>
        </w:rPr>
        <w:t>9.5%，商务服务业占90.5%</w:t>
      </w:r>
      <w:r>
        <w:rPr>
          <w:rFonts w:eastAsia="仿宋_GB2312"/>
          <w:color w:val="0C0C0C"/>
          <w:spacing w:val="-6"/>
          <w:szCs w:val="32"/>
        </w:rPr>
        <w:t>。在租赁和商务服务业企业法人单位从业人员中，租赁业占</w:t>
      </w:r>
      <w:r>
        <w:rPr>
          <w:rFonts w:eastAsia="仿宋_GB2312"/>
          <w:color w:val="0C0C0C"/>
          <w:szCs w:val="32"/>
        </w:rPr>
        <w:t>5.5%，商务服务业占94.5%</w:t>
      </w:r>
      <w:r>
        <w:rPr>
          <w:rFonts w:eastAsia="仿宋_GB2312"/>
          <w:color w:val="0C0C0C"/>
          <w:spacing w:val="-6"/>
          <w:szCs w:val="32"/>
        </w:rPr>
        <w:t>（详见表4-18）。</w:t>
      </w:r>
    </w:p>
    <w:p>
      <w:pPr>
        <w:widowControl/>
        <w:spacing w:before="173" w:beforeLines="30" w:line="320" w:lineRule="exact"/>
        <w:jc w:val="center"/>
        <w:rPr>
          <w:rFonts w:eastAsia="宋体"/>
          <w:b/>
          <w:color w:val="0C0C0C"/>
          <w:kern w:val="0"/>
          <w:sz w:val="24"/>
          <w:lang w:bidi="ar"/>
        </w:rPr>
      </w:pPr>
      <w:r>
        <w:rPr>
          <w:rFonts w:eastAsia="宋体"/>
          <w:b/>
          <w:color w:val="0C0C0C"/>
          <w:kern w:val="0"/>
          <w:sz w:val="24"/>
          <w:lang w:bidi="ar"/>
        </w:rPr>
        <w:t>表4-18　按行业大类分组的租赁和商务服务业</w:t>
      </w:r>
    </w:p>
    <w:p>
      <w:pPr>
        <w:widowControl/>
        <w:spacing w:line="320" w:lineRule="exact"/>
        <w:jc w:val="center"/>
        <w:rPr>
          <w:rFonts w:eastAsia="宋体"/>
          <w:b/>
          <w:color w:val="0C0C0C"/>
          <w:kern w:val="0"/>
          <w:sz w:val="24"/>
          <w:lang w:bidi="ar"/>
        </w:rPr>
      </w:pPr>
      <w:r>
        <w:rPr>
          <w:rFonts w:eastAsia="宋体"/>
          <w:b/>
          <w:color w:val="0C0C0C"/>
          <w:kern w:val="0"/>
          <w:sz w:val="24"/>
          <w:lang w:bidi="ar"/>
        </w:rPr>
        <w:t xml:space="preserve">    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65"/>
        <w:gridCol w:w="2737"/>
        <w:gridCol w:w="25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016" w:type="pct"/>
            <w:tcBorders>
              <w:top w:val="single" w:color="auto" w:sz="12" w:space="0"/>
              <w:left w:val="nil"/>
              <w:bottom w:val="single" w:color="auto" w:sz="4" w:space="0"/>
              <w:right w:val="single" w:color="auto" w:sz="4" w:space="0"/>
            </w:tcBorders>
            <w:vAlign w:val="center"/>
          </w:tcPr>
          <w:p>
            <w:pPr>
              <w:widowControl/>
              <w:spacing w:line="320" w:lineRule="exact"/>
              <w:jc w:val="left"/>
              <w:rPr>
                <w:rFonts w:eastAsia="宋体"/>
                <w:color w:val="0C0C0C"/>
                <w:sz w:val="21"/>
                <w:szCs w:val="21"/>
              </w:rPr>
            </w:pPr>
          </w:p>
        </w:tc>
        <w:tc>
          <w:tcPr>
            <w:tcW w:w="1548" w:type="pct"/>
            <w:tcBorders>
              <w:top w:val="single" w:color="auto" w:sz="12" w:space="0"/>
              <w:left w:val="single" w:color="auto" w:sz="4" w:space="0"/>
              <w:bottom w:val="single" w:color="auto" w:sz="4" w:space="0"/>
              <w:right w:val="single" w:color="auto" w:sz="4" w:space="0"/>
            </w:tcBorders>
            <w:vAlign w:val="center"/>
          </w:tcPr>
          <w:p>
            <w:pPr>
              <w:widowControl/>
              <w:spacing w:line="320"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企业法人单位</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1435" w:type="pct"/>
            <w:tcBorders>
              <w:top w:val="single" w:color="auto" w:sz="12" w:space="0"/>
              <w:left w:val="single" w:color="auto" w:sz="4" w:space="0"/>
              <w:bottom w:val="single" w:color="auto" w:sz="4" w:space="0"/>
              <w:right w:val="nil"/>
            </w:tcBorders>
            <w:vAlign w:val="center"/>
          </w:tcPr>
          <w:p>
            <w:pPr>
              <w:widowControl/>
              <w:spacing w:line="320"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从业人员</w:t>
            </w:r>
          </w:p>
          <w:p>
            <w:pPr>
              <w:widowControl/>
              <w:spacing w:line="32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single" w:color="auto" w:sz="4" w:space="0"/>
              <w:left w:val="nil"/>
              <w:bottom w:val="nil"/>
              <w:right w:val="single" w:color="auto" w:sz="4" w:space="0"/>
            </w:tcBorders>
            <w:vAlign w:val="center"/>
          </w:tcPr>
          <w:p>
            <w:pPr>
              <w:widowControl/>
              <w:spacing w:line="340" w:lineRule="exact"/>
              <w:ind w:right="57"/>
              <w:jc w:val="center"/>
              <w:rPr>
                <w:rFonts w:eastAsia="宋体"/>
                <w:color w:val="0C0C0C"/>
                <w:sz w:val="21"/>
                <w:szCs w:val="21"/>
              </w:rPr>
            </w:pPr>
            <w:r>
              <w:rPr>
                <w:rFonts w:eastAsia="宋体"/>
                <w:b/>
                <w:color w:val="0C0C0C"/>
                <w:kern w:val="0"/>
                <w:sz w:val="21"/>
                <w:szCs w:val="21"/>
                <w:lang w:bidi="ar"/>
              </w:rPr>
              <w:t>合　计</w:t>
            </w:r>
          </w:p>
        </w:tc>
        <w:tc>
          <w:tcPr>
            <w:tcW w:w="1548" w:type="pct"/>
            <w:tcBorders>
              <w:top w:val="single" w:color="auto" w:sz="4" w:space="0"/>
              <w:left w:val="single" w:color="auto" w:sz="4" w:space="0"/>
              <w:bottom w:val="nil"/>
              <w:right w:val="single" w:color="auto" w:sz="4" w:space="0"/>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58677</w:t>
            </w:r>
          </w:p>
        </w:tc>
        <w:tc>
          <w:tcPr>
            <w:tcW w:w="1435" w:type="pct"/>
            <w:tcBorders>
              <w:top w:val="single" w:color="auto" w:sz="4" w:space="0"/>
              <w:left w:val="single" w:color="auto" w:sz="4" w:space="0"/>
              <w:bottom w:val="nil"/>
              <w:right w:val="nil"/>
            </w:tcBorders>
          </w:tcPr>
          <w:p>
            <w:pPr>
              <w:widowControl/>
              <w:spacing w:line="340" w:lineRule="exact"/>
              <w:ind w:right="57"/>
              <w:jc w:val="right"/>
              <w:rPr>
                <w:rFonts w:eastAsia="宋体"/>
                <w:b/>
                <w:color w:val="0C0C0C"/>
                <w:kern w:val="0"/>
                <w:sz w:val="21"/>
                <w:szCs w:val="21"/>
                <w:lang w:bidi="ar"/>
              </w:rPr>
            </w:pPr>
            <w:r>
              <w:rPr>
                <w:rFonts w:eastAsia="宋体"/>
                <w:b/>
                <w:color w:val="0C0C0C"/>
                <w:kern w:val="0"/>
                <w:sz w:val="21"/>
                <w:szCs w:val="21"/>
                <w:lang w:bidi="ar"/>
              </w:rPr>
              <w:t>55.42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nil"/>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租赁业</w:t>
            </w:r>
          </w:p>
        </w:tc>
        <w:tc>
          <w:tcPr>
            <w:tcW w:w="1548" w:type="pct"/>
            <w:tcBorders>
              <w:top w:val="nil"/>
              <w:left w:val="single" w:color="auto" w:sz="4" w:space="0"/>
              <w:bottom w:val="nil"/>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5588</w:t>
            </w:r>
          </w:p>
        </w:tc>
        <w:tc>
          <w:tcPr>
            <w:tcW w:w="1435" w:type="pct"/>
            <w:tcBorders>
              <w:top w:val="nil"/>
              <w:left w:val="single" w:color="auto" w:sz="4" w:space="0"/>
              <w:bottom w:val="nil"/>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3.04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single" w:color="auto" w:sz="12" w:space="0"/>
              <w:right w:val="single" w:color="auto" w:sz="4" w:space="0"/>
            </w:tcBorders>
            <w:vAlign w:val="center"/>
          </w:tcPr>
          <w:p>
            <w:pPr>
              <w:widowControl/>
              <w:spacing w:line="340" w:lineRule="exact"/>
              <w:ind w:right="57"/>
              <w:jc w:val="left"/>
              <w:rPr>
                <w:rFonts w:eastAsia="宋体"/>
                <w:color w:val="0C0C0C"/>
                <w:sz w:val="21"/>
                <w:szCs w:val="21"/>
              </w:rPr>
            </w:pPr>
            <w:r>
              <w:rPr>
                <w:rFonts w:eastAsia="宋体"/>
                <w:color w:val="0C0C0C"/>
                <w:kern w:val="0"/>
                <w:sz w:val="21"/>
                <w:szCs w:val="21"/>
                <w:lang w:bidi="ar"/>
              </w:rPr>
              <w:t>商务服务业</w:t>
            </w:r>
          </w:p>
        </w:tc>
        <w:tc>
          <w:tcPr>
            <w:tcW w:w="1548" w:type="pct"/>
            <w:tcBorders>
              <w:top w:val="nil"/>
              <w:left w:val="single" w:color="auto" w:sz="4" w:space="0"/>
              <w:bottom w:val="single" w:color="auto" w:sz="12" w:space="0"/>
              <w:right w:val="single" w:color="auto" w:sz="4" w:space="0"/>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53089</w:t>
            </w:r>
          </w:p>
        </w:tc>
        <w:tc>
          <w:tcPr>
            <w:tcW w:w="1435" w:type="pct"/>
            <w:tcBorders>
              <w:top w:val="nil"/>
              <w:left w:val="single" w:color="auto" w:sz="4" w:space="0"/>
              <w:bottom w:val="single" w:color="auto" w:sz="12" w:space="0"/>
              <w:right w:val="nil"/>
            </w:tcBorders>
          </w:tcPr>
          <w:p>
            <w:pPr>
              <w:widowControl/>
              <w:spacing w:line="340" w:lineRule="exact"/>
              <w:ind w:right="57"/>
              <w:jc w:val="right"/>
              <w:rPr>
                <w:rFonts w:eastAsia="宋体"/>
                <w:color w:val="0C0C0C"/>
                <w:kern w:val="0"/>
                <w:sz w:val="21"/>
                <w:szCs w:val="21"/>
                <w:lang w:bidi="ar"/>
              </w:rPr>
            </w:pPr>
            <w:r>
              <w:rPr>
                <w:rFonts w:eastAsia="宋体"/>
                <w:color w:val="0C0C0C"/>
                <w:kern w:val="0"/>
                <w:sz w:val="21"/>
                <w:szCs w:val="21"/>
                <w:lang w:bidi="ar"/>
              </w:rPr>
              <w:t>52.38</w:t>
            </w:r>
          </w:p>
        </w:tc>
      </w:tr>
    </w:tbl>
    <w:p>
      <w:pPr>
        <w:widowControl/>
        <w:adjustRightInd w:val="0"/>
        <w:snapToGrid w:val="0"/>
        <w:spacing w:line="520" w:lineRule="exact"/>
        <w:ind w:firstLine="618"/>
        <w:rPr>
          <w:rFonts w:eastAsia="仿宋_GB2312"/>
          <w:color w:val="0C0C0C"/>
          <w:spacing w:val="-6"/>
          <w:szCs w:val="32"/>
        </w:rPr>
      </w:pPr>
      <w:r>
        <w:rPr>
          <w:rFonts w:eastAsia="仿宋_GB2312"/>
          <w:color w:val="0C0C0C"/>
          <w:spacing w:val="-6"/>
          <w:szCs w:val="32"/>
        </w:rPr>
        <w:t>在租赁和商务服务业企业法人单位中，内资企业占</w:t>
      </w:r>
      <w:r>
        <w:rPr>
          <w:rFonts w:eastAsia="仿宋_GB2312"/>
          <w:color w:val="0C0C0C"/>
          <w:szCs w:val="32"/>
        </w:rPr>
        <w:t>99.0%，港澳台投资企业占0.4%，外商投资企业占0.4%</w:t>
      </w:r>
      <w:r>
        <w:rPr>
          <w:rFonts w:eastAsia="仿宋_GB2312"/>
          <w:color w:val="0C0C0C"/>
          <w:spacing w:val="-6"/>
          <w:szCs w:val="32"/>
        </w:rPr>
        <w:t>。</w:t>
      </w:r>
    </w:p>
    <w:p>
      <w:pPr>
        <w:widowControl/>
        <w:adjustRightInd w:val="0"/>
        <w:snapToGrid w:val="0"/>
        <w:spacing w:line="520" w:lineRule="exact"/>
        <w:ind w:firstLine="618"/>
        <w:rPr>
          <w:rFonts w:eastAsia="仿宋_GB2312"/>
        </w:rPr>
      </w:pPr>
      <w:r>
        <w:rPr>
          <w:rFonts w:eastAsia="仿宋_GB2312"/>
          <w:color w:val="0C0C0C"/>
          <w:spacing w:val="-6"/>
          <w:szCs w:val="32"/>
        </w:rPr>
        <w:t>在租赁和商务服务业企业法人单位从业人员中，内资企业占</w:t>
      </w:r>
      <w:r>
        <w:rPr>
          <w:rFonts w:eastAsia="仿宋_GB2312"/>
          <w:color w:val="0C0C0C"/>
          <w:szCs w:val="32"/>
        </w:rPr>
        <w:t>99.1%，港澳台投资企业占0.6%，外商投资企业占0.3%</w:t>
      </w:r>
      <w:r>
        <w:rPr>
          <w:rFonts w:eastAsia="仿宋_GB2312"/>
          <w:color w:val="0C0C0C"/>
          <w:spacing w:val="-6"/>
          <w:szCs w:val="32"/>
        </w:rPr>
        <w:t>（详见表4-19）。</w:t>
      </w:r>
    </w:p>
    <w:p>
      <w:pPr>
        <w:widowControl/>
        <w:spacing w:line="320" w:lineRule="exact"/>
        <w:jc w:val="center"/>
        <w:rPr>
          <w:rFonts w:eastAsia="宋体"/>
          <w:b/>
          <w:color w:val="0C0C0C"/>
          <w:kern w:val="0"/>
          <w:sz w:val="24"/>
          <w:lang w:bidi="ar"/>
        </w:rPr>
      </w:pPr>
      <w:r>
        <w:rPr>
          <w:rFonts w:eastAsia="宋体"/>
          <w:b/>
          <w:color w:val="0C0C0C"/>
          <w:kern w:val="0"/>
          <w:sz w:val="24"/>
          <w:lang w:bidi="ar"/>
        </w:rPr>
        <w:t>表4-19　按登记注册统计类别分组的租赁和商务服务业</w:t>
      </w:r>
    </w:p>
    <w:p>
      <w:pPr>
        <w:widowControl/>
        <w:spacing w:line="320" w:lineRule="exact"/>
        <w:jc w:val="center"/>
        <w:rPr>
          <w:rFonts w:eastAsia="宋体"/>
          <w:b/>
          <w:color w:val="0C0C0C"/>
          <w:kern w:val="0"/>
          <w:sz w:val="24"/>
          <w:lang w:bidi="ar"/>
        </w:rPr>
      </w:pPr>
      <w:r>
        <w:rPr>
          <w:rFonts w:eastAsia="宋体"/>
          <w:b/>
          <w:color w:val="0C0C0C"/>
          <w:kern w:val="0"/>
          <w:sz w:val="24"/>
          <w:lang w:bidi="ar"/>
        </w:rPr>
        <w:t>企业法人单位数和从业人员</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6"/>
        <w:gridCol w:w="2716"/>
        <w:gridCol w:w="254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23" w:type="pct"/>
            <w:tcBorders>
              <w:top w:val="single" w:color="auto" w:sz="12" w:space="0"/>
              <w:left w:val="nil"/>
              <w:bottom w:val="single" w:color="auto" w:sz="4" w:space="0"/>
              <w:right w:val="single" w:color="auto" w:sz="4" w:space="0"/>
            </w:tcBorders>
            <w:vAlign w:val="center"/>
          </w:tcPr>
          <w:p>
            <w:pPr>
              <w:widowControl/>
              <w:spacing w:line="280" w:lineRule="exact"/>
              <w:jc w:val="left"/>
              <w:rPr>
                <w:rFonts w:eastAsia="宋体"/>
                <w:color w:val="0C0C0C"/>
                <w:sz w:val="21"/>
                <w:szCs w:val="21"/>
              </w:rPr>
            </w:pPr>
          </w:p>
        </w:tc>
        <w:tc>
          <w:tcPr>
            <w:tcW w:w="1536" w:type="pct"/>
            <w:tcBorders>
              <w:top w:val="single" w:color="auto" w:sz="12" w:space="0"/>
              <w:left w:val="single" w:color="auto" w:sz="4" w:space="0"/>
              <w:bottom w:val="single" w:color="auto" w:sz="4" w:space="0"/>
              <w:right w:val="single" w:color="auto" w:sz="4" w:space="0"/>
            </w:tcBorders>
            <w:vAlign w:val="center"/>
          </w:tcPr>
          <w:p>
            <w:pPr>
              <w:widowControl/>
              <w:spacing w:line="280"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企业法人单位</w:t>
            </w:r>
          </w:p>
          <w:p>
            <w:pPr>
              <w:widowControl/>
              <w:spacing w:line="280" w:lineRule="exact"/>
              <w:ind w:left="57" w:right="57"/>
              <w:jc w:val="center"/>
              <w:rPr>
                <w:rFonts w:eastAsia="宋体"/>
                <w:b/>
                <w:bCs/>
                <w:color w:val="0C0C0C"/>
                <w:sz w:val="21"/>
                <w:szCs w:val="21"/>
              </w:rPr>
            </w:pPr>
            <w:r>
              <w:rPr>
                <w:rFonts w:eastAsia="宋体"/>
                <w:b/>
                <w:bCs/>
                <w:color w:val="0C0C0C"/>
                <w:kern w:val="0"/>
                <w:sz w:val="21"/>
                <w:szCs w:val="21"/>
                <w:lang w:bidi="ar"/>
              </w:rPr>
              <w:t>（个）</w:t>
            </w:r>
          </w:p>
        </w:tc>
        <w:tc>
          <w:tcPr>
            <w:tcW w:w="1441" w:type="pct"/>
            <w:tcBorders>
              <w:top w:val="single" w:color="auto" w:sz="12" w:space="0"/>
              <w:left w:val="single" w:color="auto" w:sz="4" w:space="0"/>
              <w:bottom w:val="single" w:color="auto" w:sz="4" w:space="0"/>
              <w:right w:val="nil"/>
            </w:tcBorders>
            <w:vAlign w:val="center"/>
          </w:tcPr>
          <w:p>
            <w:pPr>
              <w:widowControl/>
              <w:spacing w:line="280"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从业人员</w:t>
            </w:r>
          </w:p>
          <w:p>
            <w:pPr>
              <w:widowControl/>
              <w:spacing w:line="280" w:lineRule="exact"/>
              <w:ind w:left="57" w:right="57"/>
              <w:jc w:val="center"/>
              <w:rPr>
                <w:rFonts w:eastAsia="宋体"/>
                <w:b/>
                <w:bCs/>
                <w:color w:val="0C0C0C"/>
                <w:sz w:val="21"/>
                <w:szCs w:val="21"/>
              </w:rPr>
            </w:pPr>
            <w:r>
              <w:rPr>
                <w:rFonts w:eastAsia="宋体"/>
                <w:b/>
                <w:bCs/>
                <w:color w:val="0C0C0C"/>
                <w:kern w:val="0"/>
                <w:sz w:val="21"/>
                <w:szCs w:val="21"/>
                <w:lang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3" w:type="pct"/>
            <w:tcBorders>
              <w:top w:val="single" w:color="auto" w:sz="4" w:space="0"/>
              <w:left w:val="nil"/>
              <w:bottom w:val="nil"/>
              <w:right w:val="single" w:color="auto" w:sz="4" w:space="0"/>
            </w:tcBorders>
            <w:vAlign w:val="center"/>
          </w:tcPr>
          <w:p>
            <w:pPr>
              <w:widowControl/>
              <w:spacing w:line="280" w:lineRule="exact"/>
              <w:ind w:right="57"/>
              <w:jc w:val="center"/>
              <w:rPr>
                <w:rFonts w:eastAsia="宋体"/>
                <w:color w:val="0C0C0C"/>
                <w:sz w:val="21"/>
                <w:szCs w:val="21"/>
              </w:rPr>
            </w:pPr>
            <w:r>
              <w:rPr>
                <w:rFonts w:eastAsia="宋体"/>
                <w:b/>
                <w:color w:val="0C0C0C"/>
                <w:kern w:val="0"/>
                <w:sz w:val="21"/>
                <w:szCs w:val="21"/>
                <w:lang w:bidi="ar"/>
              </w:rPr>
              <w:t>合　计</w:t>
            </w:r>
          </w:p>
        </w:tc>
        <w:tc>
          <w:tcPr>
            <w:tcW w:w="1536" w:type="pct"/>
            <w:tcBorders>
              <w:top w:val="single" w:color="auto" w:sz="4" w:space="0"/>
              <w:left w:val="single" w:color="auto" w:sz="4" w:space="0"/>
              <w:bottom w:val="nil"/>
              <w:right w:val="single" w:color="auto" w:sz="4" w:space="0"/>
            </w:tcBorders>
          </w:tcPr>
          <w:p>
            <w:pPr>
              <w:widowControl/>
              <w:spacing w:line="280" w:lineRule="exact"/>
              <w:ind w:right="57"/>
              <w:jc w:val="right"/>
              <w:rPr>
                <w:rFonts w:eastAsia="宋体"/>
                <w:b/>
                <w:color w:val="0C0C0C"/>
                <w:kern w:val="0"/>
                <w:sz w:val="21"/>
                <w:szCs w:val="21"/>
                <w:lang w:bidi="ar"/>
              </w:rPr>
            </w:pPr>
            <w:r>
              <w:rPr>
                <w:rFonts w:eastAsia="宋体"/>
                <w:b/>
                <w:color w:val="0C0C0C"/>
                <w:kern w:val="0"/>
                <w:sz w:val="21"/>
                <w:szCs w:val="21"/>
                <w:lang w:bidi="ar"/>
              </w:rPr>
              <w:t>58677</w:t>
            </w:r>
          </w:p>
        </w:tc>
        <w:tc>
          <w:tcPr>
            <w:tcW w:w="1441" w:type="pct"/>
            <w:tcBorders>
              <w:top w:val="single" w:color="auto" w:sz="4" w:space="0"/>
              <w:left w:val="single" w:color="auto" w:sz="4" w:space="0"/>
              <w:bottom w:val="nil"/>
              <w:right w:val="nil"/>
            </w:tcBorders>
          </w:tcPr>
          <w:p>
            <w:pPr>
              <w:widowControl/>
              <w:spacing w:line="280" w:lineRule="exact"/>
              <w:ind w:right="57"/>
              <w:jc w:val="right"/>
              <w:rPr>
                <w:rFonts w:eastAsia="宋体"/>
                <w:b/>
                <w:color w:val="0C0C0C"/>
                <w:kern w:val="0"/>
                <w:sz w:val="21"/>
                <w:szCs w:val="21"/>
                <w:lang w:bidi="ar"/>
              </w:rPr>
            </w:pPr>
            <w:r>
              <w:rPr>
                <w:rFonts w:eastAsia="宋体"/>
                <w:b/>
                <w:color w:val="0C0C0C"/>
                <w:kern w:val="0"/>
                <w:sz w:val="21"/>
                <w:szCs w:val="21"/>
                <w:lang w:bidi="ar"/>
              </w:rPr>
              <w:t>55.42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3" w:type="pct"/>
            <w:tcBorders>
              <w:top w:val="nil"/>
              <w:left w:val="nil"/>
              <w:bottom w:val="nil"/>
              <w:right w:val="single" w:color="auto" w:sz="4" w:space="0"/>
            </w:tcBorders>
            <w:vAlign w:val="center"/>
          </w:tcPr>
          <w:p>
            <w:pPr>
              <w:widowControl/>
              <w:spacing w:line="280" w:lineRule="exact"/>
              <w:ind w:right="57"/>
              <w:jc w:val="left"/>
              <w:rPr>
                <w:rFonts w:eastAsia="宋体"/>
                <w:bCs/>
                <w:color w:val="0C0C0C"/>
                <w:sz w:val="21"/>
                <w:szCs w:val="21"/>
              </w:rPr>
            </w:pPr>
            <w:r>
              <w:rPr>
                <w:rFonts w:eastAsia="宋体"/>
                <w:bCs/>
                <w:color w:val="0C0C0C"/>
                <w:kern w:val="0"/>
                <w:sz w:val="21"/>
                <w:szCs w:val="21"/>
                <w:lang w:bidi="ar"/>
              </w:rPr>
              <w:t>内资企业</w:t>
            </w:r>
          </w:p>
        </w:tc>
        <w:tc>
          <w:tcPr>
            <w:tcW w:w="1536" w:type="pct"/>
            <w:tcBorders>
              <w:top w:val="nil"/>
              <w:left w:val="single" w:color="auto" w:sz="4" w:space="0"/>
              <w:bottom w:val="nil"/>
              <w:right w:val="single" w:color="auto" w:sz="4" w:space="0"/>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58093</w:t>
            </w:r>
          </w:p>
        </w:tc>
        <w:tc>
          <w:tcPr>
            <w:tcW w:w="1441" w:type="pct"/>
            <w:tcBorders>
              <w:top w:val="nil"/>
              <w:left w:val="single" w:color="auto" w:sz="4" w:space="0"/>
              <w:bottom w:val="nil"/>
              <w:right w:val="nil"/>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54.90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3" w:type="pct"/>
            <w:tcBorders>
              <w:top w:val="nil"/>
              <w:left w:val="nil"/>
              <w:bottom w:val="nil"/>
              <w:right w:val="single" w:color="auto" w:sz="4" w:space="0"/>
            </w:tcBorders>
            <w:vAlign w:val="center"/>
          </w:tcPr>
          <w:p>
            <w:pPr>
              <w:widowControl/>
              <w:spacing w:line="280" w:lineRule="exact"/>
              <w:ind w:right="57"/>
              <w:jc w:val="left"/>
              <w:rPr>
                <w:rFonts w:eastAsia="宋体"/>
                <w:bCs/>
                <w:color w:val="0C0C0C"/>
                <w:sz w:val="21"/>
                <w:szCs w:val="21"/>
              </w:rPr>
            </w:pPr>
            <w:r>
              <w:rPr>
                <w:rFonts w:eastAsia="宋体"/>
                <w:bCs/>
                <w:color w:val="0C0C0C"/>
                <w:kern w:val="0"/>
                <w:sz w:val="21"/>
                <w:szCs w:val="21"/>
                <w:lang w:val="en" w:bidi="ar"/>
              </w:rPr>
              <w:t>港澳台</w:t>
            </w:r>
            <w:r>
              <w:rPr>
                <w:rFonts w:eastAsia="宋体"/>
                <w:bCs/>
                <w:color w:val="0C0C0C"/>
                <w:kern w:val="0"/>
                <w:sz w:val="21"/>
                <w:szCs w:val="21"/>
                <w:lang w:bidi="ar"/>
              </w:rPr>
              <w:t>投资企业</w:t>
            </w:r>
          </w:p>
        </w:tc>
        <w:tc>
          <w:tcPr>
            <w:tcW w:w="1536" w:type="pct"/>
            <w:tcBorders>
              <w:top w:val="nil"/>
              <w:left w:val="single" w:color="auto" w:sz="4" w:space="0"/>
              <w:bottom w:val="nil"/>
              <w:right w:val="single" w:color="auto" w:sz="4" w:space="0"/>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232</w:t>
            </w:r>
          </w:p>
        </w:tc>
        <w:tc>
          <w:tcPr>
            <w:tcW w:w="1441" w:type="pct"/>
            <w:tcBorders>
              <w:top w:val="nil"/>
              <w:left w:val="single" w:color="auto" w:sz="4" w:space="0"/>
              <w:bottom w:val="nil"/>
              <w:right w:val="nil"/>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0.33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3" w:type="pct"/>
            <w:tcBorders>
              <w:top w:val="nil"/>
              <w:left w:val="nil"/>
              <w:bottom w:val="nil"/>
              <w:right w:val="single" w:color="auto" w:sz="4" w:space="0"/>
            </w:tcBorders>
            <w:vAlign w:val="center"/>
          </w:tcPr>
          <w:p>
            <w:pPr>
              <w:widowControl/>
              <w:spacing w:line="280" w:lineRule="exact"/>
              <w:ind w:right="57"/>
              <w:jc w:val="left"/>
              <w:rPr>
                <w:rFonts w:eastAsia="宋体"/>
                <w:bCs/>
                <w:color w:val="0C0C0C"/>
                <w:sz w:val="21"/>
                <w:szCs w:val="21"/>
              </w:rPr>
            </w:pPr>
            <w:r>
              <w:rPr>
                <w:rFonts w:eastAsia="宋体"/>
                <w:bCs/>
                <w:color w:val="0C0C0C"/>
                <w:kern w:val="0"/>
                <w:sz w:val="21"/>
                <w:szCs w:val="21"/>
                <w:lang w:bidi="ar"/>
              </w:rPr>
              <w:t>外商投资企业</w:t>
            </w:r>
          </w:p>
        </w:tc>
        <w:tc>
          <w:tcPr>
            <w:tcW w:w="1536" w:type="pct"/>
            <w:tcBorders>
              <w:top w:val="nil"/>
              <w:left w:val="single" w:color="auto" w:sz="4" w:space="0"/>
              <w:bottom w:val="nil"/>
              <w:right w:val="single" w:color="auto" w:sz="4" w:space="0"/>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250</w:t>
            </w:r>
          </w:p>
        </w:tc>
        <w:tc>
          <w:tcPr>
            <w:tcW w:w="1441" w:type="pct"/>
            <w:tcBorders>
              <w:top w:val="nil"/>
              <w:left w:val="single" w:color="auto" w:sz="4" w:space="0"/>
              <w:bottom w:val="nil"/>
              <w:right w:val="nil"/>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0.15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3" w:type="pct"/>
            <w:tcBorders>
              <w:top w:val="nil"/>
              <w:left w:val="nil"/>
              <w:bottom w:val="single" w:color="auto" w:sz="12" w:space="0"/>
              <w:right w:val="single" w:color="auto" w:sz="4" w:space="0"/>
            </w:tcBorders>
            <w:vAlign w:val="center"/>
          </w:tcPr>
          <w:p>
            <w:pPr>
              <w:widowControl/>
              <w:spacing w:line="280" w:lineRule="exact"/>
              <w:ind w:right="57"/>
              <w:jc w:val="left"/>
              <w:rPr>
                <w:rFonts w:eastAsia="宋体"/>
                <w:bCs/>
                <w:color w:val="0C0C0C"/>
                <w:kern w:val="0"/>
                <w:sz w:val="21"/>
                <w:szCs w:val="21"/>
                <w:lang w:bidi="ar"/>
              </w:rPr>
            </w:pPr>
            <w:r>
              <w:rPr>
                <w:rFonts w:eastAsia="宋体"/>
                <w:bCs/>
                <w:color w:val="0C0C0C"/>
                <w:kern w:val="0"/>
                <w:sz w:val="21"/>
                <w:szCs w:val="21"/>
                <w:lang w:bidi="ar"/>
              </w:rPr>
              <w:t>其他统计类别</w:t>
            </w:r>
          </w:p>
        </w:tc>
        <w:tc>
          <w:tcPr>
            <w:tcW w:w="1536" w:type="pct"/>
            <w:tcBorders>
              <w:top w:val="nil"/>
              <w:left w:val="single" w:color="auto" w:sz="4" w:space="0"/>
              <w:bottom w:val="single" w:color="auto" w:sz="12" w:space="0"/>
              <w:right w:val="single" w:color="auto" w:sz="4" w:space="0"/>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102</w:t>
            </w:r>
          </w:p>
        </w:tc>
        <w:tc>
          <w:tcPr>
            <w:tcW w:w="1441" w:type="pct"/>
            <w:tcBorders>
              <w:top w:val="nil"/>
              <w:left w:val="single" w:color="auto" w:sz="4" w:space="0"/>
              <w:bottom w:val="single" w:color="auto" w:sz="12" w:space="0"/>
              <w:right w:val="nil"/>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0.03</w:t>
            </w:r>
          </w:p>
        </w:tc>
      </w:tr>
    </w:tbl>
    <w:p>
      <w:pPr>
        <w:widowControl/>
        <w:adjustRightInd w:val="0"/>
        <w:snapToGrid w:val="0"/>
        <w:spacing w:line="520" w:lineRule="exact"/>
        <w:ind w:firstLine="640"/>
        <w:rPr>
          <w:rFonts w:eastAsia="楷体_GB2312"/>
          <w:color w:val="0C0C0C"/>
          <w:kern w:val="0"/>
          <w:szCs w:val="32"/>
          <w:lang w:bidi="ar"/>
        </w:rPr>
      </w:pPr>
      <w:r>
        <w:rPr>
          <w:rFonts w:eastAsia="楷体_GB2312"/>
          <w:color w:val="0C0C0C"/>
          <w:kern w:val="0"/>
          <w:szCs w:val="32"/>
          <w:lang w:bidi="ar"/>
        </w:rPr>
        <w:t>（二）主要经济指标</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rPr>
        <w:t>2023年末，租赁和商务服务业企业法人单位资产总计</w:t>
      </w:r>
      <w:r>
        <w:rPr>
          <w:rFonts w:eastAsia="仿宋_GB2312"/>
          <w:color w:val="0C0C0C"/>
          <w:szCs w:val="32"/>
        </w:rPr>
        <w:t>37396.25亿元，比2018年末增长70.3%</w:t>
      </w:r>
      <w:r>
        <w:rPr>
          <w:rFonts w:eastAsia="仿宋_GB2312"/>
          <w:color w:val="0C0C0C"/>
          <w:spacing w:val="-6"/>
          <w:szCs w:val="32"/>
        </w:rPr>
        <w:t>。其中，租赁业企业法人单位资产总计</w:t>
      </w:r>
      <w:r>
        <w:rPr>
          <w:rFonts w:eastAsia="仿宋_GB2312"/>
          <w:color w:val="0C0C0C"/>
          <w:szCs w:val="32"/>
        </w:rPr>
        <w:t>325.97亿元，商务服务业企业法人单位资产总计37070.27亿元，分别比2018年末增长83.4%和70.2%</w:t>
      </w:r>
      <w:r>
        <w:rPr>
          <w:rFonts w:eastAsia="仿宋_GB2312"/>
          <w:color w:val="0C0C0C"/>
          <w:spacing w:val="-6"/>
          <w:szCs w:val="32"/>
        </w:rPr>
        <w:t>。租赁和商务服务业企业法人单位负债合计1</w:t>
      </w:r>
      <w:r>
        <w:rPr>
          <w:rFonts w:eastAsia="仿宋_GB2312"/>
          <w:color w:val="0C0C0C"/>
          <w:szCs w:val="32"/>
        </w:rPr>
        <w:t>9891.85亿元，比2018年末增长70.8%</w:t>
      </w:r>
      <w:r>
        <w:rPr>
          <w:rFonts w:eastAsia="仿宋_GB2312"/>
          <w:color w:val="0C0C0C"/>
          <w:spacing w:val="-6"/>
          <w:szCs w:val="32"/>
        </w:rPr>
        <w:t>。</w:t>
      </w:r>
    </w:p>
    <w:p>
      <w:pPr>
        <w:widowControl/>
        <w:adjustRightInd w:val="0"/>
        <w:snapToGrid w:val="0"/>
        <w:spacing w:line="520" w:lineRule="exact"/>
        <w:ind w:firstLine="616"/>
        <w:rPr>
          <w:rFonts w:eastAsia="仿宋_GB2312"/>
          <w:color w:val="0C0C0C"/>
          <w:spacing w:val="-6"/>
          <w:szCs w:val="32"/>
        </w:rPr>
      </w:pPr>
      <w:r>
        <w:rPr>
          <w:rFonts w:eastAsia="仿宋_GB2312"/>
          <w:color w:val="0C0C0C"/>
          <w:spacing w:val="-6"/>
          <w:szCs w:val="32"/>
        </w:rPr>
        <w:t>2023年，租赁和商务服务业企业法人单位实现营业收入</w:t>
      </w:r>
      <w:r>
        <w:rPr>
          <w:rFonts w:eastAsia="仿宋_GB2312"/>
          <w:color w:val="0C0C0C"/>
          <w:szCs w:val="32"/>
        </w:rPr>
        <w:t>2741.70亿元，比2018年增长52.0%</w:t>
      </w:r>
      <w:r>
        <w:rPr>
          <w:rFonts w:eastAsia="仿宋_GB2312"/>
          <w:color w:val="0C0C0C"/>
          <w:spacing w:val="-6"/>
          <w:szCs w:val="32"/>
        </w:rPr>
        <w:t>（详见表4-20）。</w:t>
      </w:r>
    </w:p>
    <w:p>
      <w:pPr>
        <w:widowControl/>
        <w:spacing w:before="115" w:beforeLines="20" w:line="320" w:lineRule="exact"/>
        <w:jc w:val="center"/>
        <w:rPr>
          <w:rFonts w:eastAsia="宋体"/>
          <w:b/>
          <w:color w:val="0C0C0C"/>
          <w:kern w:val="0"/>
          <w:sz w:val="24"/>
          <w:lang w:bidi="ar"/>
        </w:rPr>
      </w:pPr>
      <w:r>
        <w:rPr>
          <w:rFonts w:eastAsia="宋体"/>
          <w:b/>
          <w:color w:val="0C0C0C"/>
          <w:kern w:val="0"/>
          <w:sz w:val="24"/>
          <w:lang w:bidi="ar"/>
        </w:rPr>
        <w:t>表4-</w:t>
      </w:r>
      <w:r>
        <w:rPr>
          <w:rFonts w:eastAsia="宋体"/>
          <w:b/>
          <w:color w:val="0C0C0C"/>
          <w:kern w:val="0"/>
          <w:sz w:val="24"/>
          <w:lang w:val="en" w:bidi="ar"/>
        </w:rPr>
        <w:t>20</w:t>
      </w:r>
      <w:r>
        <w:rPr>
          <w:rFonts w:eastAsia="宋体"/>
          <w:b/>
          <w:color w:val="0C0C0C"/>
          <w:kern w:val="0"/>
          <w:sz w:val="24"/>
          <w:lang w:bidi="ar"/>
        </w:rPr>
        <w:t>　按行业大类分组的租赁和商务服务业</w:t>
      </w:r>
    </w:p>
    <w:p>
      <w:pPr>
        <w:widowControl/>
        <w:spacing w:line="320" w:lineRule="exact"/>
        <w:jc w:val="center"/>
        <w:rPr>
          <w:rFonts w:eastAsia="宋体"/>
          <w:b/>
          <w:color w:val="0C0C0C"/>
          <w:kern w:val="0"/>
          <w:sz w:val="24"/>
          <w:lang w:bidi="ar"/>
        </w:rPr>
      </w:pPr>
      <w:r>
        <w:rPr>
          <w:rFonts w:eastAsia="宋体"/>
          <w:b/>
          <w:color w:val="0C0C0C"/>
          <w:kern w:val="0"/>
          <w:sz w:val="24"/>
          <w:lang w:bidi="ar"/>
        </w:rPr>
        <w:t xml:space="preserve">  企业法人单位主要经济指标</w:t>
      </w:r>
    </w:p>
    <w:tbl>
      <w:tblPr>
        <w:tblStyle w:val="1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6"/>
        <w:gridCol w:w="1633"/>
        <w:gridCol w:w="1633"/>
        <w:gridCol w:w="16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76" w:type="dxa"/>
            <w:tcBorders>
              <w:top w:val="single" w:color="auto" w:sz="12" w:space="0"/>
              <w:left w:val="nil"/>
              <w:bottom w:val="single" w:color="auto" w:sz="4" w:space="0"/>
              <w:right w:val="single" w:color="auto" w:sz="4" w:space="0"/>
            </w:tcBorders>
            <w:vAlign w:val="center"/>
          </w:tcPr>
          <w:p>
            <w:pPr>
              <w:widowControl/>
              <w:spacing w:line="280" w:lineRule="exact"/>
              <w:jc w:val="left"/>
              <w:rPr>
                <w:rFonts w:eastAsia="宋体"/>
                <w:b/>
                <w:bCs/>
                <w:color w:val="0C0C0C"/>
                <w:sz w:val="21"/>
                <w:szCs w:val="21"/>
              </w:rPr>
            </w:pPr>
            <w:r>
              <w:rPr>
                <w:rFonts w:eastAsia="宋体"/>
                <w:b/>
                <w:bCs/>
                <w:color w:val="0C0C0C"/>
                <w:kern w:val="0"/>
                <w:sz w:val="21"/>
                <w:szCs w:val="21"/>
                <w:lang w:bidi="ar"/>
              </w:rPr>
              <w:t>　</w:t>
            </w:r>
          </w:p>
        </w:tc>
        <w:tc>
          <w:tcPr>
            <w:tcW w:w="1633" w:type="dxa"/>
            <w:tcBorders>
              <w:top w:val="single" w:color="auto" w:sz="12" w:space="0"/>
              <w:left w:val="single" w:color="auto" w:sz="4" w:space="0"/>
              <w:bottom w:val="single" w:color="auto" w:sz="4" w:space="0"/>
              <w:right w:val="single" w:color="auto" w:sz="4" w:space="0"/>
            </w:tcBorders>
            <w:vAlign w:val="center"/>
          </w:tcPr>
          <w:p>
            <w:pPr>
              <w:widowControl/>
              <w:spacing w:line="280" w:lineRule="exact"/>
              <w:ind w:left="57" w:right="57"/>
              <w:jc w:val="center"/>
              <w:rPr>
                <w:rFonts w:eastAsia="宋体"/>
                <w:b/>
                <w:bCs/>
                <w:color w:val="0C0C0C"/>
                <w:sz w:val="21"/>
                <w:szCs w:val="21"/>
              </w:rPr>
            </w:pPr>
            <w:r>
              <w:rPr>
                <w:rFonts w:eastAsia="宋体"/>
                <w:b/>
                <w:bCs/>
                <w:color w:val="0C0C0C"/>
                <w:kern w:val="0"/>
                <w:sz w:val="21"/>
                <w:szCs w:val="21"/>
                <w:lang w:bidi="ar"/>
              </w:rPr>
              <w:t>资产总计</w:t>
            </w:r>
          </w:p>
          <w:p>
            <w:pPr>
              <w:widowControl/>
              <w:spacing w:line="28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1633" w:type="dxa"/>
            <w:tcBorders>
              <w:top w:val="single" w:color="auto" w:sz="12" w:space="0"/>
              <w:left w:val="single" w:color="auto" w:sz="4" w:space="0"/>
              <w:bottom w:val="single" w:color="auto" w:sz="4" w:space="0"/>
              <w:right w:val="single" w:color="auto" w:sz="4" w:space="0"/>
            </w:tcBorders>
            <w:vAlign w:val="center"/>
          </w:tcPr>
          <w:p>
            <w:pPr>
              <w:widowControl/>
              <w:spacing w:line="280" w:lineRule="exact"/>
              <w:ind w:left="57" w:right="57"/>
              <w:jc w:val="center"/>
              <w:rPr>
                <w:rFonts w:eastAsia="宋体"/>
                <w:b/>
                <w:bCs/>
                <w:color w:val="0C0C0C"/>
                <w:sz w:val="21"/>
                <w:szCs w:val="21"/>
              </w:rPr>
            </w:pPr>
            <w:r>
              <w:rPr>
                <w:rFonts w:eastAsia="宋体"/>
                <w:b/>
                <w:bCs/>
                <w:color w:val="0C0C0C"/>
                <w:kern w:val="0"/>
                <w:sz w:val="21"/>
                <w:szCs w:val="21"/>
                <w:lang w:bidi="ar"/>
              </w:rPr>
              <w:t>负债合计</w:t>
            </w:r>
          </w:p>
          <w:p>
            <w:pPr>
              <w:widowControl/>
              <w:spacing w:line="280"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1632" w:type="dxa"/>
            <w:tcBorders>
              <w:top w:val="single" w:color="auto" w:sz="12" w:space="0"/>
              <w:left w:val="single" w:color="auto" w:sz="4" w:space="0"/>
              <w:bottom w:val="single" w:color="auto" w:sz="4" w:space="0"/>
              <w:right w:val="nil"/>
            </w:tcBorders>
            <w:vAlign w:val="center"/>
          </w:tcPr>
          <w:p>
            <w:pPr>
              <w:widowControl/>
              <w:spacing w:line="280" w:lineRule="exact"/>
              <w:ind w:left="57" w:right="57"/>
              <w:jc w:val="center"/>
              <w:rPr>
                <w:rFonts w:eastAsia="宋体"/>
                <w:b/>
                <w:bCs/>
                <w:color w:val="0C0C0C"/>
                <w:sz w:val="21"/>
                <w:szCs w:val="21"/>
              </w:rPr>
            </w:pPr>
            <w:r>
              <w:rPr>
                <w:rFonts w:eastAsia="宋体"/>
                <w:b/>
                <w:bCs/>
                <w:color w:val="0C0C0C"/>
                <w:kern w:val="0"/>
                <w:sz w:val="21"/>
                <w:szCs w:val="21"/>
                <w:lang w:bidi="ar"/>
              </w:rPr>
              <w:t>营业收入</w:t>
            </w:r>
          </w:p>
          <w:p>
            <w:pPr>
              <w:widowControl/>
              <w:spacing w:line="280" w:lineRule="exact"/>
              <w:ind w:left="57" w:right="57"/>
              <w:jc w:val="center"/>
              <w:rPr>
                <w:rFonts w:eastAsia="宋体"/>
                <w:b/>
                <w:bCs/>
                <w:color w:val="0C0C0C"/>
                <w:sz w:val="21"/>
                <w:szCs w:val="21"/>
              </w:rPr>
            </w:pPr>
            <w:r>
              <w:rPr>
                <w:rFonts w:eastAsia="宋体"/>
                <w:b/>
                <w:bCs/>
                <w:color w:val="0C0C0C"/>
                <w:kern w:val="0"/>
                <w:sz w:val="21"/>
                <w:szCs w:val="21"/>
                <w:lang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single" w:color="auto" w:sz="4" w:space="0"/>
              <w:left w:val="nil"/>
              <w:bottom w:val="nil"/>
              <w:right w:val="single" w:color="auto" w:sz="4" w:space="0"/>
            </w:tcBorders>
            <w:vAlign w:val="center"/>
          </w:tcPr>
          <w:p>
            <w:pPr>
              <w:widowControl/>
              <w:spacing w:line="280" w:lineRule="exact"/>
              <w:ind w:right="57"/>
              <w:jc w:val="center"/>
              <w:rPr>
                <w:rFonts w:eastAsia="宋体"/>
                <w:color w:val="0C0C0C"/>
                <w:sz w:val="21"/>
                <w:szCs w:val="21"/>
              </w:rPr>
            </w:pPr>
            <w:r>
              <w:rPr>
                <w:rFonts w:eastAsia="宋体"/>
                <w:b/>
                <w:color w:val="0C0C0C"/>
                <w:kern w:val="0"/>
                <w:sz w:val="21"/>
                <w:szCs w:val="21"/>
                <w:lang w:bidi="ar"/>
              </w:rPr>
              <w:t>合　计</w:t>
            </w:r>
          </w:p>
        </w:tc>
        <w:tc>
          <w:tcPr>
            <w:tcW w:w="1633" w:type="dxa"/>
            <w:tcBorders>
              <w:top w:val="single" w:color="auto" w:sz="4" w:space="0"/>
              <w:left w:val="single" w:color="auto" w:sz="4" w:space="0"/>
              <w:bottom w:val="nil"/>
              <w:right w:val="single" w:color="auto" w:sz="4" w:space="0"/>
            </w:tcBorders>
          </w:tcPr>
          <w:p>
            <w:pPr>
              <w:widowControl/>
              <w:spacing w:line="280" w:lineRule="exact"/>
              <w:ind w:right="57"/>
              <w:jc w:val="right"/>
              <w:rPr>
                <w:rFonts w:eastAsia="宋体"/>
                <w:b/>
                <w:color w:val="0C0C0C"/>
                <w:kern w:val="0"/>
                <w:sz w:val="21"/>
                <w:szCs w:val="21"/>
                <w:lang w:bidi="ar"/>
              </w:rPr>
            </w:pPr>
            <w:r>
              <w:rPr>
                <w:rFonts w:eastAsia="宋体"/>
                <w:b/>
                <w:color w:val="0C0C0C"/>
                <w:kern w:val="0"/>
                <w:sz w:val="21"/>
                <w:szCs w:val="21"/>
                <w:lang w:bidi="ar"/>
              </w:rPr>
              <w:t>37396.25</w:t>
            </w:r>
          </w:p>
        </w:tc>
        <w:tc>
          <w:tcPr>
            <w:tcW w:w="1633" w:type="dxa"/>
            <w:tcBorders>
              <w:top w:val="single" w:color="auto" w:sz="4" w:space="0"/>
              <w:left w:val="single" w:color="auto" w:sz="4" w:space="0"/>
              <w:bottom w:val="nil"/>
              <w:right w:val="single" w:color="auto" w:sz="4" w:space="0"/>
            </w:tcBorders>
          </w:tcPr>
          <w:p>
            <w:pPr>
              <w:widowControl/>
              <w:spacing w:line="280" w:lineRule="exact"/>
              <w:ind w:right="57"/>
              <w:jc w:val="right"/>
              <w:rPr>
                <w:rFonts w:eastAsia="宋体"/>
                <w:b/>
                <w:color w:val="0C0C0C"/>
                <w:kern w:val="0"/>
                <w:sz w:val="21"/>
                <w:szCs w:val="21"/>
                <w:lang w:bidi="ar"/>
              </w:rPr>
            </w:pPr>
            <w:r>
              <w:rPr>
                <w:rFonts w:eastAsia="宋体"/>
                <w:b/>
                <w:color w:val="0C0C0C"/>
                <w:kern w:val="0"/>
                <w:sz w:val="21"/>
                <w:szCs w:val="21"/>
                <w:lang w:bidi="ar"/>
              </w:rPr>
              <w:t>19891.85</w:t>
            </w:r>
          </w:p>
        </w:tc>
        <w:tc>
          <w:tcPr>
            <w:tcW w:w="1632" w:type="dxa"/>
            <w:tcBorders>
              <w:top w:val="single" w:color="auto" w:sz="4" w:space="0"/>
              <w:left w:val="single" w:color="auto" w:sz="4" w:space="0"/>
              <w:bottom w:val="nil"/>
              <w:right w:val="nil"/>
            </w:tcBorders>
          </w:tcPr>
          <w:p>
            <w:pPr>
              <w:widowControl/>
              <w:spacing w:line="280" w:lineRule="exact"/>
              <w:ind w:right="57"/>
              <w:jc w:val="right"/>
              <w:rPr>
                <w:rFonts w:eastAsia="宋体"/>
                <w:b/>
                <w:color w:val="0C0C0C"/>
                <w:kern w:val="0"/>
                <w:sz w:val="21"/>
                <w:szCs w:val="21"/>
                <w:lang w:bidi="ar"/>
              </w:rPr>
            </w:pPr>
            <w:r>
              <w:rPr>
                <w:rFonts w:eastAsia="宋体"/>
                <w:b/>
                <w:color w:val="0C0C0C"/>
                <w:kern w:val="0"/>
                <w:sz w:val="21"/>
                <w:szCs w:val="21"/>
                <w:lang w:bidi="ar"/>
              </w:rPr>
              <w:t>2741.70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vAlign w:val="center"/>
          </w:tcPr>
          <w:p>
            <w:pPr>
              <w:widowControl/>
              <w:spacing w:line="280" w:lineRule="exact"/>
              <w:ind w:right="57"/>
              <w:jc w:val="left"/>
              <w:rPr>
                <w:rFonts w:eastAsia="宋体"/>
                <w:color w:val="0C0C0C"/>
                <w:sz w:val="21"/>
                <w:szCs w:val="21"/>
              </w:rPr>
            </w:pPr>
            <w:r>
              <w:rPr>
                <w:rFonts w:eastAsia="宋体"/>
                <w:color w:val="0C0C0C"/>
                <w:kern w:val="0"/>
                <w:sz w:val="21"/>
                <w:szCs w:val="21"/>
                <w:lang w:bidi="ar"/>
              </w:rPr>
              <w:t>租赁业</w:t>
            </w:r>
          </w:p>
        </w:tc>
        <w:tc>
          <w:tcPr>
            <w:tcW w:w="1633" w:type="dxa"/>
            <w:tcBorders>
              <w:top w:val="nil"/>
              <w:left w:val="single" w:color="auto" w:sz="4" w:space="0"/>
              <w:bottom w:val="nil"/>
              <w:right w:val="single" w:color="auto" w:sz="4" w:space="0"/>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325.97</w:t>
            </w:r>
          </w:p>
        </w:tc>
        <w:tc>
          <w:tcPr>
            <w:tcW w:w="1633" w:type="dxa"/>
            <w:tcBorders>
              <w:top w:val="nil"/>
              <w:left w:val="single" w:color="auto" w:sz="4" w:space="0"/>
              <w:bottom w:val="nil"/>
              <w:right w:val="single" w:color="auto" w:sz="4" w:space="0"/>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224.29</w:t>
            </w:r>
          </w:p>
        </w:tc>
        <w:tc>
          <w:tcPr>
            <w:tcW w:w="1632" w:type="dxa"/>
            <w:tcBorders>
              <w:top w:val="nil"/>
              <w:left w:val="single" w:color="auto" w:sz="4" w:space="0"/>
              <w:bottom w:val="nil"/>
              <w:right w:val="nil"/>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103.98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single" w:color="auto" w:sz="12" w:space="0"/>
              <w:right w:val="single" w:color="auto" w:sz="4" w:space="0"/>
            </w:tcBorders>
            <w:vAlign w:val="center"/>
          </w:tcPr>
          <w:p>
            <w:pPr>
              <w:widowControl/>
              <w:spacing w:line="280" w:lineRule="exact"/>
              <w:ind w:right="57"/>
              <w:jc w:val="left"/>
              <w:rPr>
                <w:rFonts w:eastAsia="宋体"/>
                <w:color w:val="0C0C0C"/>
                <w:sz w:val="21"/>
                <w:szCs w:val="21"/>
              </w:rPr>
            </w:pPr>
            <w:r>
              <w:rPr>
                <w:rFonts w:eastAsia="宋体"/>
                <w:color w:val="0C0C0C"/>
                <w:kern w:val="0"/>
                <w:sz w:val="21"/>
                <w:szCs w:val="21"/>
                <w:lang w:bidi="ar"/>
              </w:rPr>
              <w:t>商务服务业</w:t>
            </w:r>
          </w:p>
        </w:tc>
        <w:tc>
          <w:tcPr>
            <w:tcW w:w="1633" w:type="dxa"/>
            <w:tcBorders>
              <w:top w:val="nil"/>
              <w:left w:val="single" w:color="auto" w:sz="4" w:space="0"/>
              <w:bottom w:val="single" w:color="auto" w:sz="12" w:space="0"/>
              <w:right w:val="single" w:color="auto" w:sz="4" w:space="0"/>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37070.27</w:t>
            </w:r>
          </w:p>
        </w:tc>
        <w:tc>
          <w:tcPr>
            <w:tcW w:w="1633" w:type="dxa"/>
            <w:tcBorders>
              <w:top w:val="nil"/>
              <w:left w:val="single" w:color="auto" w:sz="4" w:space="0"/>
              <w:bottom w:val="single" w:color="auto" w:sz="12" w:space="0"/>
              <w:right w:val="single" w:color="auto" w:sz="4" w:space="0"/>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19667.57</w:t>
            </w:r>
          </w:p>
        </w:tc>
        <w:tc>
          <w:tcPr>
            <w:tcW w:w="1632" w:type="dxa"/>
            <w:tcBorders>
              <w:top w:val="nil"/>
              <w:left w:val="single" w:color="auto" w:sz="4" w:space="0"/>
              <w:bottom w:val="single" w:color="auto" w:sz="12" w:space="0"/>
              <w:right w:val="nil"/>
            </w:tcBorders>
          </w:tcPr>
          <w:p>
            <w:pPr>
              <w:widowControl/>
              <w:spacing w:line="280" w:lineRule="exact"/>
              <w:ind w:right="57"/>
              <w:jc w:val="right"/>
              <w:rPr>
                <w:rFonts w:eastAsia="宋体"/>
                <w:color w:val="0C0C0C"/>
                <w:kern w:val="0"/>
                <w:sz w:val="21"/>
                <w:szCs w:val="21"/>
                <w:lang w:bidi="ar"/>
              </w:rPr>
            </w:pPr>
            <w:r>
              <w:rPr>
                <w:rFonts w:eastAsia="宋体"/>
                <w:color w:val="0C0C0C"/>
                <w:kern w:val="0"/>
                <w:sz w:val="21"/>
                <w:szCs w:val="21"/>
                <w:lang w:bidi="ar"/>
              </w:rPr>
              <w:t>2637.71</w:t>
            </w:r>
          </w:p>
        </w:tc>
      </w:tr>
    </w:tbl>
    <w:p>
      <w:pPr>
        <w:widowControl/>
        <w:spacing w:line="600" w:lineRule="exact"/>
        <w:ind w:firstLine="560"/>
        <w:jc w:val="left"/>
        <w:rPr>
          <w:rFonts w:eastAsia="黑体"/>
          <w:bCs/>
          <w:color w:val="0C0C0C"/>
          <w:kern w:val="0"/>
          <w:sz w:val="28"/>
          <w:szCs w:val="28"/>
          <w:lang w:bidi="ar"/>
        </w:rPr>
      </w:pPr>
    </w:p>
    <w:p>
      <w:pPr>
        <w:widowControl/>
        <w:spacing w:line="600" w:lineRule="exact"/>
        <w:ind w:firstLine="560"/>
        <w:jc w:val="left"/>
        <w:rPr>
          <w:color w:val="0C0C0C"/>
          <w:sz w:val="28"/>
          <w:szCs w:val="28"/>
        </w:rPr>
      </w:pPr>
      <w:r>
        <w:rPr>
          <w:rFonts w:eastAsia="黑体"/>
          <w:bCs/>
          <w:color w:val="0C0C0C"/>
          <w:kern w:val="0"/>
          <w:sz w:val="28"/>
          <w:szCs w:val="28"/>
          <w:lang w:bidi="ar"/>
        </w:rPr>
        <w:t>注释：</w:t>
      </w:r>
    </w:p>
    <w:p>
      <w:pPr>
        <w:widowControl/>
        <w:spacing w:line="600" w:lineRule="exact"/>
        <w:ind w:firstLine="560"/>
        <w:rPr>
          <w:rFonts w:eastAsia="仿宋_GB2312"/>
          <w:color w:val="0C0C0C"/>
          <w:kern w:val="0"/>
          <w:sz w:val="28"/>
          <w:szCs w:val="28"/>
          <w:lang w:bidi="ar"/>
        </w:rPr>
      </w:pPr>
      <w:r>
        <w:rPr>
          <w:rFonts w:eastAsia="仿宋_GB2312"/>
          <w:color w:val="0C0C0C"/>
          <w:kern w:val="0"/>
          <w:sz w:val="28"/>
          <w:szCs w:val="28"/>
          <w:lang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pPr>
        <w:widowControl/>
        <w:spacing w:line="600" w:lineRule="exact"/>
        <w:ind w:firstLine="560"/>
        <w:rPr>
          <w:rFonts w:eastAsia="仿宋_GB2312"/>
          <w:color w:val="0C0C0C"/>
          <w:sz w:val="36"/>
          <w:szCs w:val="36"/>
        </w:rPr>
      </w:pPr>
      <w:r>
        <w:rPr>
          <w:rFonts w:eastAsia="仿宋_GB2312"/>
          <w:color w:val="0C0C0C"/>
          <w:kern w:val="0"/>
          <w:sz w:val="28"/>
          <w:szCs w:val="28"/>
          <w:lang w:bidi="ar"/>
        </w:rPr>
        <w:t>[2]表中的合计数和部分计算数据因小数取舍而产生的误差，均未作机械调整。</w:t>
      </w:r>
    </w:p>
    <w:p>
      <w:pPr>
        <w:spacing w:line="580" w:lineRule="exact"/>
        <w:ind w:firstLine="560"/>
        <w:rPr>
          <w:rFonts w:eastAsia="仿宋_GB2312"/>
          <w:caps/>
          <w:spacing w:val="24"/>
          <w:w w:val="90"/>
          <w:sz w:val="28"/>
        </w:rPr>
      </w:pPr>
      <w:r>
        <w:rPr>
          <w:rFonts w:eastAsia="仿宋_GB2312"/>
          <w:kern w:val="0"/>
          <w:sz w:val="28"/>
          <w:szCs w:val="28"/>
          <w:lang w:bidi="ar"/>
        </w:rPr>
        <w:t>[3]根据《统计法》相关规定，部分行业统计调查对象数量较少，为避免泄露单个统计调查对象信息，用“NA”表示。</w:t>
      </w:r>
    </w:p>
    <w:sectPr>
      <w:footerReference r:id="rId4" w:type="default"/>
      <w:footerReference r:id="rId5" w:type="even"/>
      <w:pgSz w:w="11906" w:h="16838"/>
      <w:pgMar w:top="2098" w:right="1474" w:bottom="1984" w:left="1588" w:header="851" w:footer="1417"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44"/>
      <w:jc w:val="right"/>
      <w:rPr>
        <w:rFonts w:ascii="宋体" w:hAnsi="宋体"/>
        <w:sz w:val="28"/>
        <w:szCs w:val="28"/>
      </w:rPr>
    </w:pPr>
    <w:r>
      <w:rPr>
        <w:rFonts w:hint="eastAsia"/>
      </w:rPr>
      <w:t xml:space="preserve">                                                         </w:t>
    </w:r>
    <w:sdt>
      <w:sdtPr>
        <w:id w:val="460766765"/>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sdtContent>
    </w:sdt>
  </w:p>
  <w:p>
    <w:pPr>
      <w:pStyle w:val="1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178268"/>
    </w:sdtPr>
    <w:sdtEndPr>
      <w:rPr>
        <w:rFonts w:ascii="宋体" w:hAnsi="宋体"/>
        <w:sz w:val="28"/>
        <w:szCs w:val="28"/>
      </w:rPr>
    </w:sdtEndPr>
    <w:sdtContent>
      <w:p>
        <w:pPr>
          <w:pStyle w:val="13"/>
          <w:ind w:firstLine="3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5"/>
        <w:spacing w:line="240" w:lineRule="auto"/>
        <w:ind w:firstLine="0" w:firstLineChars="0"/>
        <w:jc w:val="both"/>
        <w:textAlignment w:val="auto"/>
        <w:rPr>
          <w:rFonts w:ascii="宋体" w:hAnsi="宋体" w:eastAsia="宋体" w:cs="宋体"/>
          <w:szCs w:val="18"/>
        </w:rPr>
      </w:pPr>
      <w:r>
        <w:rPr>
          <w:rStyle w:val="23"/>
          <w:rFonts w:hint="eastAsia" w:ascii="Calibri" w:hAnsi="Calibri"/>
        </w:rPr>
        <w:footnoteRef/>
      </w:r>
      <w:r>
        <w:rPr>
          <w:rStyle w:val="23"/>
          <w:rFonts w:hint="eastAsia" w:ascii="Calibri" w:hAnsi="Calibri"/>
        </w:rPr>
        <w:t xml:space="preserve"> 本</w:t>
      </w:r>
      <w:r>
        <w:rPr>
          <w:rFonts w:hint="eastAsia" w:ascii="宋体" w:hAnsi="宋体" w:eastAsia="宋体" w:cs="宋体"/>
          <w:szCs w:val="18"/>
        </w:rPr>
        <w:t>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trackedChanges" w:enforcement="0"/>
  <w:defaultTabStop w:val="420"/>
  <w:evenAndOddHeaders w:val="1"/>
  <w:drawingGridHorizontalSpacing w:val="158"/>
  <w:drawingGridVerticalSpacing w:val="579"/>
  <w:displayHorizontalDrawingGridEvery w:val="0"/>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94"/>
    <w:rsid w:val="000C2F23"/>
    <w:rsid w:val="00136026"/>
    <w:rsid w:val="00144A2C"/>
    <w:rsid w:val="0016612D"/>
    <w:rsid w:val="00183EAA"/>
    <w:rsid w:val="001D0FA1"/>
    <w:rsid w:val="001D3A54"/>
    <w:rsid w:val="001D3EB9"/>
    <w:rsid w:val="001F2A01"/>
    <w:rsid w:val="002150BD"/>
    <w:rsid w:val="00260A4D"/>
    <w:rsid w:val="002632CA"/>
    <w:rsid w:val="00286774"/>
    <w:rsid w:val="00292D62"/>
    <w:rsid w:val="00296D9C"/>
    <w:rsid w:val="002977ED"/>
    <w:rsid w:val="002A5D16"/>
    <w:rsid w:val="002C5A86"/>
    <w:rsid w:val="002D4200"/>
    <w:rsid w:val="002E5506"/>
    <w:rsid w:val="002F6D5E"/>
    <w:rsid w:val="003000A6"/>
    <w:rsid w:val="00300398"/>
    <w:rsid w:val="00343BDB"/>
    <w:rsid w:val="003578B1"/>
    <w:rsid w:val="003C27F7"/>
    <w:rsid w:val="003E11A7"/>
    <w:rsid w:val="003E1525"/>
    <w:rsid w:val="003E2813"/>
    <w:rsid w:val="004415C2"/>
    <w:rsid w:val="00442BEF"/>
    <w:rsid w:val="004505A2"/>
    <w:rsid w:val="00461426"/>
    <w:rsid w:val="004C0B7A"/>
    <w:rsid w:val="00513E3C"/>
    <w:rsid w:val="00526435"/>
    <w:rsid w:val="00565797"/>
    <w:rsid w:val="005851E1"/>
    <w:rsid w:val="005939B8"/>
    <w:rsid w:val="005A045A"/>
    <w:rsid w:val="005A1BCE"/>
    <w:rsid w:val="005A1FD0"/>
    <w:rsid w:val="005B1174"/>
    <w:rsid w:val="0064685A"/>
    <w:rsid w:val="006513C2"/>
    <w:rsid w:val="00663DCA"/>
    <w:rsid w:val="006664A1"/>
    <w:rsid w:val="0068451C"/>
    <w:rsid w:val="007267AC"/>
    <w:rsid w:val="007846B4"/>
    <w:rsid w:val="007B769A"/>
    <w:rsid w:val="007D72E1"/>
    <w:rsid w:val="007F33B0"/>
    <w:rsid w:val="00800334"/>
    <w:rsid w:val="00807D4F"/>
    <w:rsid w:val="00822038"/>
    <w:rsid w:val="008521EC"/>
    <w:rsid w:val="008B5692"/>
    <w:rsid w:val="008C1CBD"/>
    <w:rsid w:val="008D265A"/>
    <w:rsid w:val="008E33CE"/>
    <w:rsid w:val="008E6283"/>
    <w:rsid w:val="009027A5"/>
    <w:rsid w:val="00994935"/>
    <w:rsid w:val="009A3763"/>
    <w:rsid w:val="00A00813"/>
    <w:rsid w:val="00A14757"/>
    <w:rsid w:val="00A22905"/>
    <w:rsid w:val="00A33329"/>
    <w:rsid w:val="00A4511B"/>
    <w:rsid w:val="00A92B5C"/>
    <w:rsid w:val="00AB7F71"/>
    <w:rsid w:val="00AC2E27"/>
    <w:rsid w:val="00B014E5"/>
    <w:rsid w:val="00B32B17"/>
    <w:rsid w:val="00B37186"/>
    <w:rsid w:val="00B41EFF"/>
    <w:rsid w:val="00B6501E"/>
    <w:rsid w:val="00B9012F"/>
    <w:rsid w:val="00BB59FB"/>
    <w:rsid w:val="00BB5A6D"/>
    <w:rsid w:val="00BC204B"/>
    <w:rsid w:val="00BF235F"/>
    <w:rsid w:val="00C03C19"/>
    <w:rsid w:val="00C16701"/>
    <w:rsid w:val="00C20D6C"/>
    <w:rsid w:val="00C4309F"/>
    <w:rsid w:val="00C5133E"/>
    <w:rsid w:val="00C62FCC"/>
    <w:rsid w:val="00C74E31"/>
    <w:rsid w:val="00CA651A"/>
    <w:rsid w:val="00CC5B71"/>
    <w:rsid w:val="00CE081C"/>
    <w:rsid w:val="00D4356A"/>
    <w:rsid w:val="00D75CAF"/>
    <w:rsid w:val="00D76483"/>
    <w:rsid w:val="00D76F75"/>
    <w:rsid w:val="00DE2688"/>
    <w:rsid w:val="00DE5188"/>
    <w:rsid w:val="00DF7097"/>
    <w:rsid w:val="00E21057"/>
    <w:rsid w:val="00E311DA"/>
    <w:rsid w:val="00E67C9B"/>
    <w:rsid w:val="00EA3FC9"/>
    <w:rsid w:val="00EA4B15"/>
    <w:rsid w:val="00EB2494"/>
    <w:rsid w:val="00EB5446"/>
    <w:rsid w:val="00EB6075"/>
    <w:rsid w:val="00EC623E"/>
    <w:rsid w:val="00EE76FB"/>
    <w:rsid w:val="00F05C75"/>
    <w:rsid w:val="00F31F04"/>
    <w:rsid w:val="00F41559"/>
    <w:rsid w:val="00F97675"/>
    <w:rsid w:val="00FD330B"/>
    <w:rsid w:val="065C63CF"/>
    <w:rsid w:val="151E3B33"/>
    <w:rsid w:val="1A0F4152"/>
    <w:rsid w:val="1ABD04C0"/>
    <w:rsid w:val="20176955"/>
    <w:rsid w:val="3C7D67B1"/>
    <w:rsid w:val="52A22A4A"/>
    <w:rsid w:val="65FA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4">
    <w:name w:val="heading 1"/>
    <w:basedOn w:val="1"/>
    <w:next w:val="1"/>
    <w:link w:val="28"/>
    <w:qFormat/>
    <w:uiPriority w:val="9"/>
    <w:pPr>
      <w:keepNext/>
      <w:keepLines/>
      <w:spacing w:line="588" w:lineRule="exact"/>
      <w:textAlignment w:val="center"/>
      <w:outlineLvl w:val="0"/>
    </w:pPr>
    <w:rPr>
      <w:rFonts w:eastAsia="方正黑体_GBK"/>
      <w:bCs/>
      <w:kern w:val="44"/>
      <w:sz w:val="30"/>
      <w:szCs w:val="44"/>
    </w:rPr>
  </w:style>
  <w:style w:type="paragraph" w:styleId="5">
    <w:name w:val="heading 2"/>
    <w:basedOn w:val="1"/>
    <w:next w:val="1"/>
    <w:link w:val="29"/>
    <w:qFormat/>
    <w:uiPriority w:val="9"/>
    <w:pPr>
      <w:keepNext/>
      <w:keepLines/>
      <w:spacing w:line="588" w:lineRule="exact"/>
      <w:textAlignment w:val="center"/>
      <w:outlineLvl w:val="1"/>
    </w:pPr>
    <w:rPr>
      <w:rFonts w:eastAsia="方正楷体_GBK"/>
      <w:bCs/>
      <w:sz w:val="30"/>
      <w:szCs w:val="32"/>
    </w:rPr>
  </w:style>
  <w:style w:type="paragraph" w:styleId="6">
    <w:name w:val="heading 3"/>
    <w:basedOn w:val="1"/>
    <w:next w:val="1"/>
    <w:link w:val="30"/>
    <w:qFormat/>
    <w:uiPriority w:val="9"/>
    <w:pPr>
      <w:keepNext/>
      <w:keepLines/>
      <w:spacing w:line="588" w:lineRule="exact"/>
      <w:textAlignment w:val="center"/>
      <w:outlineLvl w:val="2"/>
    </w:pPr>
    <w:rPr>
      <w:rFonts w:eastAsia="方正楷体_GBK"/>
      <w:bCs/>
      <w:sz w:val="30"/>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1"/>
    <w:qFormat/>
    <w:uiPriority w:val="0"/>
    <w:pPr>
      <w:ind w:firstLine="420"/>
    </w:pPr>
  </w:style>
  <w:style w:type="paragraph" w:styleId="3">
    <w:name w:val="Body Text Indent"/>
    <w:basedOn w:val="1"/>
    <w:next w:val="1"/>
    <w:link w:val="37"/>
    <w:qFormat/>
    <w:uiPriority w:val="99"/>
    <w:pPr>
      <w:adjustRightInd w:val="0"/>
      <w:spacing w:line="360" w:lineRule="atLeast"/>
      <w:ind w:firstLine="600" w:firstLineChars="200"/>
      <w:textAlignment w:val="baseline"/>
    </w:pPr>
    <w:rPr>
      <w:rFonts w:eastAsia="方正仿宋_GBK"/>
      <w:kern w:val="0"/>
      <w:sz w:val="30"/>
      <w:szCs w:val="20"/>
    </w:rPr>
  </w:style>
  <w:style w:type="paragraph" w:styleId="7">
    <w:name w:val="Normal Indent"/>
    <w:basedOn w:val="1"/>
    <w:next w:val="1"/>
    <w:qFormat/>
    <w:uiPriority w:val="0"/>
    <w:pPr>
      <w:spacing w:line="588" w:lineRule="exact"/>
      <w:ind w:firstLine="200" w:firstLineChars="200"/>
      <w:textAlignment w:val="center"/>
    </w:pPr>
    <w:rPr>
      <w:rFonts w:eastAsia="方正仿宋_GBK"/>
      <w:sz w:val="30"/>
      <w:szCs w:val="22"/>
    </w:rPr>
  </w:style>
  <w:style w:type="paragraph" w:styleId="8">
    <w:name w:val="Body Text"/>
    <w:basedOn w:val="1"/>
    <w:next w:val="9"/>
    <w:link w:val="38"/>
    <w:qFormat/>
    <w:uiPriority w:val="0"/>
    <w:pPr>
      <w:spacing w:after="120" w:line="588" w:lineRule="exact"/>
      <w:ind w:firstLine="200" w:firstLineChars="200"/>
      <w:textAlignment w:val="center"/>
    </w:pPr>
    <w:rPr>
      <w:rFonts w:eastAsia="方正仿宋_GBK"/>
      <w:sz w:val="30"/>
      <w:szCs w:val="22"/>
    </w:rPr>
  </w:style>
  <w:style w:type="paragraph" w:styleId="9">
    <w:name w:val="Title"/>
    <w:basedOn w:val="1"/>
    <w:next w:val="1"/>
    <w:link w:val="36"/>
    <w:qFormat/>
    <w:uiPriority w:val="10"/>
    <w:pPr>
      <w:widowControl/>
      <w:spacing w:line="588" w:lineRule="exact"/>
      <w:jc w:val="center"/>
      <w:textAlignment w:val="center"/>
    </w:pPr>
    <w:rPr>
      <w:rFonts w:eastAsia="方正小标宋简体"/>
      <w:b/>
      <w:bCs/>
      <w:sz w:val="40"/>
      <w:szCs w:val="22"/>
    </w:rPr>
  </w:style>
  <w:style w:type="paragraph" w:styleId="10">
    <w:name w:val="toc 5"/>
    <w:next w:val="1"/>
    <w:qFormat/>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1">
    <w:name w:val="toc 3"/>
    <w:basedOn w:val="1"/>
    <w:next w:val="1"/>
    <w:unhideWhenUsed/>
    <w:qFormat/>
    <w:uiPriority w:val="39"/>
    <w:pPr>
      <w:spacing w:line="588" w:lineRule="exact"/>
      <w:ind w:firstLine="200" w:firstLineChars="200"/>
      <w:textAlignment w:val="center"/>
    </w:pPr>
    <w:rPr>
      <w:rFonts w:eastAsia="方正仿宋_GBK"/>
      <w:sz w:val="30"/>
      <w:szCs w:val="22"/>
    </w:rPr>
  </w:style>
  <w:style w:type="paragraph" w:styleId="12">
    <w:name w:val="Balloon Text"/>
    <w:basedOn w:val="1"/>
    <w:link w:val="2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3"/>
    <w:unhideWhenUsed/>
    <w:qFormat/>
    <w:uiPriority w:val="99"/>
    <w:pPr>
      <w:snapToGrid w:val="0"/>
      <w:spacing w:line="588" w:lineRule="exact"/>
      <w:ind w:firstLine="200" w:firstLineChars="200"/>
      <w:jc w:val="left"/>
      <w:textAlignment w:val="center"/>
    </w:pPr>
    <w:rPr>
      <w:rFonts w:eastAsia="方正仿宋_GBK" w:cstheme="minorBidi"/>
      <w:sz w:val="18"/>
      <w:szCs w:val="22"/>
    </w:rPr>
  </w:style>
  <w:style w:type="paragraph" w:styleId="16">
    <w:name w:val="toc 2"/>
    <w:basedOn w:val="1"/>
    <w:next w:val="1"/>
    <w:unhideWhenUsed/>
    <w:qFormat/>
    <w:uiPriority w:val="39"/>
    <w:pPr>
      <w:tabs>
        <w:tab w:val="right" w:leader="dot" w:pos="8664"/>
      </w:tabs>
      <w:spacing w:line="588" w:lineRule="exact"/>
      <w:ind w:firstLine="320" w:firstLineChars="100"/>
      <w:textAlignment w:val="center"/>
    </w:pPr>
    <w:rPr>
      <w:rFonts w:eastAsia="方正楷体_GBK"/>
      <w:sz w:val="30"/>
      <w:szCs w:val="22"/>
    </w:rPr>
  </w:style>
  <w:style w:type="paragraph" w:styleId="17">
    <w:name w:val="Normal (Web)"/>
    <w:basedOn w:val="1"/>
    <w:qFormat/>
    <w:uiPriority w:val="0"/>
    <w:pPr>
      <w:spacing w:before="100" w:beforeAutospacing="1" w:after="100" w:afterAutospacing="1" w:line="588" w:lineRule="exact"/>
      <w:ind w:firstLine="200" w:firstLineChars="200"/>
      <w:jc w:val="left"/>
      <w:textAlignment w:val="center"/>
    </w:pPr>
    <w:rPr>
      <w:rFonts w:eastAsia="方正仿宋_GBK"/>
      <w:kern w:val="0"/>
      <w:sz w:val="24"/>
      <w:szCs w:val="22"/>
    </w:rPr>
  </w:style>
  <w:style w:type="paragraph" w:styleId="18">
    <w:name w:val="Body Text First Indent"/>
    <w:basedOn w:val="8"/>
    <w:next w:val="2"/>
    <w:link w:val="39"/>
    <w:unhideWhenUsed/>
    <w:qFormat/>
    <w:uiPriority w:val="99"/>
    <w:pPr>
      <w:ind w:firstLine="420" w:firstLineChars="100"/>
    </w:pPr>
    <w:rPr>
      <w:rFonts w:ascii="等线" w:hAnsi="等线" w:eastAsia="等线"/>
      <w:sz w:val="21"/>
    </w:rPr>
  </w:style>
  <w:style w:type="character" w:styleId="21">
    <w:name w:val="Strong"/>
    <w:qFormat/>
    <w:uiPriority w:val="0"/>
    <w:rPr>
      <w:b/>
    </w:rPr>
  </w:style>
  <w:style w:type="character" w:styleId="22">
    <w:name w:val="page number"/>
    <w:qFormat/>
    <w:uiPriority w:val="0"/>
  </w:style>
  <w:style w:type="character" w:styleId="23">
    <w:name w:val="footnote reference"/>
    <w:unhideWhenUsed/>
    <w:qFormat/>
    <w:uiPriority w:val="99"/>
    <w:rPr>
      <w:vertAlign w:val="superscript"/>
    </w:rPr>
  </w:style>
  <w:style w:type="paragraph" w:customStyle="1" w:styleId="24">
    <w:name w:val="局发文正文"/>
    <w:basedOn w:val="1"/>
    <w:qFormat/>
    <w:uiPriority w:val="0"/>
    <w:pPr>
      <w:adjustRightInd w:val="0"/>
      <w:spacing w:line="600" w:lineRule="exact"/>
      <w:ind w:firstLine="200" w:firstLineChars="200"/>
    </w:pPr>
    <w:rPr>
      <w:rFonts w:ascii="仿宋_GB2312" w:eastAsia="仿宋_GB2312"/>
      <w:caps/>
      <w:spacing w:val="6"/>
      <w:kern w:val="0"/>
      <w:szCs w:val="20"/>
    </w:rPr>
  </w:style>
  <w:style w:type="character" w:customStyle="1" w:styleId="25">
    <w:name w:val="批注框文本 字符"/>
    <w:basedOn w:val="20"/>
    <w:link w:val="12"/>
    <w:semiHidden/>
    <w:qFormat/>
    <w:uiPriority w:val="99"/>
    <w:rPr>
      <w:rFonts w:ascii="Times New Roman" w:hAnsi="Times New Roman" w:eastAsia="宋体" w:cs="Times New Roman"/>
      <w:sz w:val="18"/>
      <w:szCs w:val="18"/>
    </w:rPr>
  </w:style>
  <w:style w:type="character" w:customStyle="1" w:styleId="26">
    <w:name w:val="页眉 字符"/>
    <w:basedOn w:val="20"/>
    <w:link w:val="14"/>
    <w:qFormat/>
    <w:uiPriority w:val="99"/>
    <w:rPr>
      <w:rFonts w:ascii="Times New Roman" w:hAnsi="Times New Roman" w:eastAsia="宋体" w:cs="Times New Roman"/>
      <w:sz w:val="18"/>
      <w:szCs w:val="18"/>
    </w:rPr>
  </w:style>
  <w:style w:type="character" w:customStyle="1" w:styleId="27">
    <w:name w:val="页脚 字符"/>
    <w:basedOn w:val="20"/>
    <w:link w:val="13"/>
    <w:qFormat/>
    <w:uiPriority w:val="99"/>
    <w:rPr>
      <w:rFonts w:ascii="Times New Roman" w:hAnsi="Times New Roman" w:eastAsia="宋体" w:cs="Times New Roman"/>
      <w:sz w:val="18"/>
      <w:szCs w:val="18"/>
    </w:rPr>
  </w:style>
  <w:style w:type="character" w:customStyle="1" w:styleId="28">
    <w:name w:val="标题 1 字符"/>
    <w:basedOn w:val="20"/>
    <w:link w:val="4"/>
    <w:qFormat/>
    <w:uiPriority w:val="9"/>
    <w:rPr>
      <w:rFonts w:ascii="Times New Roman" w:hAnsi="Times New Roman" w:eastAsia="方正黑体_GBK" w:cs="Times New Roman"/>
      <w:bCs/>
      <w:kern w:val="44"/>
      <w:sz w:val="30"/>
      <w:szCs w:val="44"/>
    </w:rPr>
  </w:style>
  <w:style w:type="character" w:customStyle="1" w:styleId="29">
    <w:name w:val="标题 2 字符"/>
    <w:basedOn w:val="20"/>
    <w:link w:val="5"/>
    <w:qFormat/>
    <w:uiPriority w:val="9"/>
    <w:rPr>
      <w:rFonts w:ascii="Times New Roman" w:hAnsi="Times New Roman" w:eastAsia="方正楷体_GBK" w:cs="Times New Roman"/>
      <w:bCs/>
      <w:kern w:val="2"/>
      <w:sz w:val="30"/>
      <w:szCs w:val="32"/>
    </w:rPr>
  </w:style>
  <w:style w:type="character" w:customStyle="1" w:styleId="30">
    <w:name w:val="标题 3 字符"/>
    <w:basedOn w:val="20"/>
    <w:link w:val="6"/>
    <w:qFormat/>
    <w:uiPriority w:val="9"/>
    <w:rPr>
      <w:rFonts w:ascii="Times New Roman" w:hAnsi="Times New Roman" w:eastAsia="方正楷体_GBK" w:cs="Times New Roman"/>
      <w:bCs/>
      <w:kern w:val="2"/>
      <w:sz w:val="30"/>
      <w:szCs w:val="32"/>
    </w:rPr>
  </w:style>
  <w:style w:type="character" w:customStyle="1" w:styleId="31">
    <w:name w:val="标题 2 Char"/>
    <w:qFormat/>
    <w:uiPriority w:val="0"/>
    <w:rPr>
      <w:rFonts w:ascii="Times New Roman" w:hAnsi="Times New Roman" w:eastAsia="方正楷体_GBK"/>
      <w:kern w:val="0"/>
      <w:sz w:val="30"/>
      <w:szCs w:val="20"/>
      <w:lang w:val="en-US" w:eastAsia="zh-CN" w:bidi="ar-SA"/>
    </w:rPr>
  </w:style>
  <w:style w:type="character" w:customStyle="1" w:styleId="32">
    <w:name w:val="font01"/>
    <w:qFormat/>
    <w:uiPriority w:val="0"/>
    <w:rPr>
      <w:rFonts w:hint="default" w:ascii="Times New Roman" w:hAnsi="Times New Roman" w:cs="Times New Roman"/>
      <w:color w:val="000000"/>
      <w:sz w:val="36"/>
      <w:szCs w:val="36"/>
      <w:u w:val="none"/>
    </w:rPr>
  </w:style>
  <w:style w:type="character" w:customStyle="1" w:styleId="33">
    <w:name w:val="脚注文本 字符"/>
    <w:link w:val="15"/>
    <w:qFormat/>
    <w:uiPriority w:val="99"/>
    <w:rPr>
      <w:rFonts w:ascii="Times New Roman" w:hAnsi="Times New Roman" w:eastAsia="方正仿宋_GBK"/>
      <w:kern w:val="2"/>
      <w:sz w:val="18"/>
      <w:szCs w:val="22"/>
    </w:rPr>
  </w:style>
  <w:style w:type="character" w:customStyle="1" w:styleId="34">
    <w:name w:val="标题 2 Char1"/>
    <w:qFormat/>
    <w:uiPriority w:val="0"/>
    <w:rPr>
      <w:rFonts w:eastAsia="方正楷体_GBK"/>
      <w:szCs w:val="30"/>
    </w:rPr>
  </w:style>
  <w:style w:type="character" w:customStyle="1" w:styleId="35">
    <w:name w:val="font41"/>
    <w:qFormat/>
    <w:uiPriority w:val="0"/>
    <w:rPr>
      <w:rFonts w:hint="default" w:ascii="Times New Roman" w:hAnsi="Times New Roman" w:cs="Times New Roman"/>
      <w:color w:val="000000"/>
      <w:sz w:val="24"/>
      <w:szCs w:val="24"/>
      <w:u w:val="none"/>
    </w:rPr>
  </w:style>
  <w:style w:type="character" w:customStyle="1" w:styleId="36">
    <w:name w:val="标题 字符"/>
    <w:basedOn w:val="20"/>
    <w:link w:val="9"/>
    <w:qFormat/>
    <w:uiPriority w:val="10"/>
    <w:rPr>
      <w:rFonts w:ascii="Times New Roman" w:hAnsi="Times New Roman" w:eastAsia="方正小标宋简体" w:cs="Times New Roman"/>
      <w:b/>
      <w:bCs/>
      <w:kern w:val="2"/>
      <w:sz w:val="40"/>
      <w:szCs w:val="22"/>
    </w:rPr>
  </w:style>
  <w:style w:type="character" w:customStyle="1" w:styleId="37">
    <w:name w:val="正文文本缩进 字符"/>
    <w:basedOn w:val="20"/>
    <w:link w:val="3"/>
    <w:qFormat/>
    <w:uiPriority w:val="99"/>
    <w:rPr>
      <w:rFonts w:ascii="Times New Roman" w:hAnsi="Times New Roman" w:eastAsia="方正仿宋_GBK" w:cs="Times New Roman"/>
      <w:sz w:val="30"/>
    </w:rPr>
  </w:style>
  <w:style w:type="character" w:customStyle="1" w:styleId="38">
    <w:name w:val="正文文本 字符"/>
    <w:basedOn w:val="20"/>
    <w:link w:val="8"/>
    <w:qFormat/>
    <w:uiPriority w:val="0"/>
    <w:rPr>
      <w:rFonts w:ascii="Times New Roman" w:hAnsi="Times New Roman" w:eastAsia="方正仿宋_GBK" w:cs="Times New Roman"/>
      <w:kern w:val="2"/>
      <w:sz w:val="30"/>
      <w:szCs w:val="22"/>
    </w:rPr>
  </w:style>
  <w:style w:type="character" w:customStyle="1" w:styleId="39">
    <w:name w:val="正文首行缩进 字符"/>
    <w:basedOn w:val="38"/>
    <w:link w:val="18"/>
    <w:qFormat/>
    <w:uiPriority w:val="99"/>
    <w:rPr>
      <w:rFonts w:ascii="等线" w:hAnsi="等线" w:eastAsia="等线" w:cs="Times New Roman"/>
      <w:kern w:val="2"/>
      <w:sz w:val="21"/>
      <w:szCs w:val="22"/>
    </w:rPr>
  </w:style>
  <w:style w:type="character" w:customStyle="1" w:styleId="40">
    <w:name w:val="脚注文本 字符1"/>
    <w:basedOn w:val="20"/>
    <w:semiHidden/>
    <w:qFormat/>
    <w:uiPriority w:val="99"/>
    <w:rPr>
      <w:rFonts w:ascii="Times New Roman" w:hAnsi="Times New Roman" w:eastAsia="仿宋" w:cs="Times New Roman"/>
      <w:kern w:val="2"/>
      <w:sz w:val="18"/>
      <w:szCs w:val="18"/>
    </w:rPr>
  </w:style>
  <w:style w:type="character" w:customStyle="1" w:styleId="41">
    <w:name w:val="正文首行缩进 2 字符"/>
    <w:basedOn w:val="37"/>
    <w:link w:val="2"/>
    <w:qFormat/>
    <w:uiPriority w:val="0"/>
    <w:rPr>
      <w:rFonts w:ascii="Times New Roman" w:hAnsi="Times New Roman" w:eastAsia="方正仿宋_GBK" w:cs="Times New Roman"/>
      <w:sz w:val="30"/>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Body Text First Indent 21"/>
    <w:basedOn w:val="44"/>
    <w:unhideWhenUsed/>
    <w:qFormat/>
    <w:uiPriority w:val="99"/>
    <w:pPr>
      <w:ind w:left="0" w:firstLine="420"/>
    </w:pPr>
    <w:rPr>
      <w:rFonts w:hint="default" w:eastAsia="Times New Roman"/>
      <w:sz w:val="32"/>
    </w:rPr>
  </w:style>
  <w:style w:type="paragraph" w:customStyle="1" w:styleId="44">
    <w:name w:val="Body Text Indent1"/>
    <w:basedOn w:val="1"/>
    <w:unhideWhenUsed/>
    <w:qFormat/>
    <w:uiPriority w:val="99"/>
    <w:pPr>
      <w:spacing w:line="588" w:lineRule="exact"/>
      <w:ind w:left="420" w:leftChars="200" w:firstLine="200" w:firstLineChars="200"/>
      <w:textAlignment w:val="center"/>
    </w:pPr>
    <w:rPr>
      <w:rFonts w:hint="eastAsia" w:eastAsia="方正仿宋_GBK"/>
      <w:sz w:val="21"/>
      <w:szCs w:val="22"/>
    </w:rPr>
  </w:style>
  <w:style w:type="paragraph" w:customStyle="1" w:styleId="45">
    <w:name w:val="纯文本1"/>
    <w:basedOn w:val="1"/>
    <w:qFormat/>
    <w:uiPriority w:val="0"/>
    <w:pPr>
      <w:spacing w:line="588" w:lineRule="exact"/>
      <w:ind w:firstLine="200" w:firstLineChars="200"/>
      <w:textAlignment w:val="center"/>
    </w:pPr>
    <w:rPr>
      <w:rFonts w:ascii="宋体" w:hAnsi="Courier New" w:eastAsia="方正仿宋_GBK" w:cs="Courier New"/>
      <w:sz w:val="30"/>
      <w:szCs w:val="21"/>
    </w:rPr>
  </w:style>
  <w:style w:type="paragraph" w:customStyle="1" w:styleId="46">
    <w:name w:val="正文（缩进）"/>
    <w:qFormat/>
    <w:uiPriority w:val="0"/>
    <w:pPr>
      <w:widowControl w:val="0"/>
      <w:spacing w:line="594" w:lineRule="exact"/>
      <w:ind w:firstLine="482"/>
      <w:jc w:val="both"/>
    </w:pPr>
    <w:rPr>
      <w:rFonts w:ascii="仿宋_GB2312" w:hAnsi="Times New Roman" w:eastAsia="方正仿宋_GBK"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13</Pages>
  <Words>1264</Words>
  <Characters>7210</Characters>
  <Lines>60</Lines>
  <Paragraphs>16</Paragraphs>
  <TotalTime>123</TotalTime>
  <ScaleCrop>false</ScaleCrop>
  <LinksUpToDate>false</LinksUpToDate>
  <CharactersWithSpaces>8458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2020-07-01T14:42:00Z</dcterms:created>
  <dc:creator>许飞(许飞:)</dc:creator>
  <cp:lastModifiedBy>user</cp:lastModifiedBy>
  <cp:lastPrinted>2020-03-24T17:11:00Z</cp:lastPrinted>
  <dcterms:modified xsi:type="dcterms:W3CDTF">2025-07-15T14:46:54Z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